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EA04D" w14:textId="77777777" w:rsidR="00F456C4" w:rsidRPr="00BB5ADD" w:rsidRDefault="00F456C4"/>
    <w:p w14:paraId="2948DFA7" w14:textId="492D343E" w:rsidR="00FB5AE0" w:rsidRPr="00FB4216" w:rsidRDefault="004E7C4A" w:rsidP="00A44B35">
      <w:pPr>
        <w:jc w:val="center"/>
        <w:rPr>
          <w:b/>
          <w:bCs/>
        </w:rPr>
      </w:pPr>
      <w:r w:rsidRPr="00FB4216">
        <w:rPr>
          <w:b/>
          <w:bCs/>
        </w:rPr>
        <w:t xml:space="preserve">COVID-19 </w:t>
      </w:r>
      <w:r w:rsidR="00384074" w:rsidRPr="00FB4216">
        <w:rPr>
          <w:b/>
          <w:bCs/>
        </w:rPr>
        <w:t xml:space="preserve">mRNA </w:t>
      </w:r>
      <w:r w:rsidRPr="00FB4216">
        <w:rPr>
          <w:b/>
          <w:bCs/>
        </w:rPr>
        <w:t>Vaccination: Implications for the Central Nervous System</w:t>
      </w:r>
    </w:p>
    <w:p w14:paraId="307DC2A8" w14:textId="77777777" w:rsidR="00A44B35" w:rsidRPr="00BB5ADD" w:rsidRDefault="00A44B35" w:rsidP="00A44B35">
      <w:pPr>
        <w:jc w:val="center"/>
      </w:pPr>
    </w:p>
    <w:p w14:paraId="1377756C" w14:textId="611E71B3" w:rsidR="00A44B35" w:rsidRPr="00BB5ADD" w:rsidRDefault="00A44B35" w:rsidP="00A44B35">
      <w:pPr>
        <w:tabs>
          <w:tab w:val="left" w:pos="4186"/>
        </w:tabs>
        <w:spacing w:line="360" w:lineRule="auto"/>
        <w:jc w:val="center"/>
        <w:rPr>
          <w:rFonts w:asciiTheme="majorBidi" w:hAnsiTheme="majorBidi" w:cstheme="majorBidi"/>
        </w:rPr>
      </w:pPr>
      <w:r w:rsidRPr="00BB5ADD">
        <w:rPr>
          <w:rFonts w:asciiTheme="majorBidi" w:hAnsiTheme="majorBidi" w:cstheme="majorBidi"/>
        </w:rPr>
        <w:t>Kirstin Cosgrove</w:t>
      </w:r>
      <w:r w:rsidR="0060611A" w:rsidRPr="00BB5ADD">
        <w:rPr>
          <w:rFonts w:asciiTheme="majorBidi" w:hAnsiTheme="majorBidi" w:cstheme="majorBidi"/>
        </w:rPr>
        <w:t xml:space="preserve"> BM, CCRA</w:t>
      </w:r>
      <w:r w:rsidRPr="00BB5ADD">
        <w:rPr>
          <w:rFonts w:asciiTheme="majorBidi" w:hAnsiTheme="majorBidi" w:cstheme="majorBidi"/>
          <w:vertAlign w:val="superscript"/>
        </w:rPr>
        <w:t>a</w:t>
      </w:r>
      <w:r w:rsidRPr="00BB5ADD">
        <w:rPr>
          <w:rFonts w:asciiTheme="majorBidi" w:hAnsiTheme="majorBidi" w:cstheme="majorBidi"/>
        </w:rPr>
        <w:t>, James A Thorp MD</w:t>
      </w:r>
      <w:r w:rsidRPr="00BB5ADD">
        <w:rPr>
          <w:rFonts w:asciiTheme="majorBidi" w:hAnsiTheme="majorBidi" w:cstheme="majorBidi"/>
          <w:vertAlign w:val="superscript"/>
        </w:rPr>
        <w:t>b</w:t>
      </w:r>
      <w:r w:rsidRPr="00BB5ADD">
        <w:rPr>
          <w:rFonts w:asciiTheme="majorBidi" w:hAnsiTheme="majorBidi" w:cstheme="majorBidi"/>
        </w:rPr>
        <w:t>, Claire Rogers</w:t>
      </w:r>
      <w:r w:rsidR="00B10EA2" w:rsidRPr="00BB5ADD">
        <w:rPr>
          <w:rFonts w:asciiTheme="majorBidi" w:hAnsiTheme="majorBidi" w:cstheme="majorBidi"/>
        </w:rPr>
        <w:t xml:space="preserve"> MSPAS, PA-C</w:t>
      </w:r>
      <w:r w:rsidRPr="00BB5ADD">
        <w:rPr>
          <w:rFonts w:asciiTheme="majorBidi" w:hAnsiTheme="majorBidi" w:cstheme="majorBidi"/>
          <w:vertAlign w:val="superscript"/>
        </w:rPr>
        <w:t>c</w:t>
      </w:r>
      <w:r w:rsidRPr="00BB5ADD">
        <w:rPr>
          <w:rFonts w:asciiTheme="majorBidi" w:hAnsiTheme="majorBidi" w:cstheme="majorBidi"/>
        </w:rPr>
        <w:t xml:space="preserve">, </w:t>
      </w:r>
    </w:p>
    <w:p w14:paraId="03D6C95D" w14:textId="6DCE434D" w:rsidR="00A44B35" w:rsidRPr="00BB5ADD" w:rsidRDefault="00A44B35" w:rsidP="00A44B35">
      <w:pPr>
        <w:tabs>
          <w:tab w:val="left" w:pos="4186"/>
        </w:tabs>
        <w:spacing w:line="360" w:lineRule="auto"/>
        <w:jc w:val="center"/>
        <w:rPr>
          <w:rFonts w:asciiTheme="majorBidi" w:hAnsiTheme="majorBidi" w:cstheme="majorBidi"/>
        </w:rPr>
      </w:pPr>
      <w:r w:rsidRPr="00BB5ADD">
        <w:rPr>
          <w:rFonts w:asciiTheme="majorBidi" w:hAnsiTheme="majorBidi" w:cstheme="majorBidi"/>
        </w:rPr>
        <w:t>Steven Hatfill MD</w:t>
      </w:r>
      <w:r w:rsidRPr="00BB5ADD">
        <w:rPr>
          <w:rFonts w:asciiTheme="majorBidi" w:hAnsiTheme="majorBidi" w:cstheme="majorBidi"/>
          <w:vertAlign w:val="superscript"/>
        </w:rPr>
        <w:t>d</w:t>
      </w:r>
      <w:r w:rsidRPr="00BB5ADD">
        <w:rPr>
          <w:rFonts w:asciiTheme="majorBidi" w:hAnsiTheme="majorBidi" w:cstheme="majorBidi"/>
        </w:rPr>
        <w:t>,</w:t>
      </w:r>
      <w:r w:rsidR="00A33350">
        <w:rPr>
          <w:rFonts w:asciiTheme="majorBidi" w:hAnsiTheme="majorBidi" w:cstheme="majorBidi"/>
        </w:rPr>
        <w:t xml:space="preserve"> Nicolas Hulscher, MPH</w:t>
      </w:r>
      <w:r w:rsidR="00A33350">
        <w:rPr>
          <w:rFonts w:asciiTheme="majorBidi" w:hAnsiTheme="majorBidi" w:cstheme="majorBidi"/>
          <w:vertAlign w:val="superscript"/>
        </w:rPr>
        <w:t>e</w:t>
      </w:r>
      <w:r w:rsidR="00A33350">
        <w:rPr>
          <w:rFonts w:asciiTheme="majorBidi" w:hAnsiTheme="majorBidi" w:cstheme="majorBidi"/>
        </w:rPr>
        <w:t>,</w:t>
      </w:r>
      <w:r w:rsidRPr="00BB5ADD">
        <w:rPr>
          <w:rFonts w:asciiTheme="majorBidi" w:hAnsiTheme="majorBidi" w:cstheme="majorBidi"/>
        </w:rPr>
        <w:t xml:space="preserve"> Peter A McCullough MD MPH</w:t>
      </w:r>
      <w:r w:rsidR="00CC0619">
        <w:rPr>
          <w:rFonts w:asciiTheme="majorBidi" w:hAnsiTheme="majorBidi" w:cstheme="majorBidi"/>
          <w:vertAlign w:val="superscript"/>
        </w:rPr>
        <w:t>f</w:t>
      </w:r>
    </w:p>
    <w:p w14:paraId="677CDC00" w14:textId="77777777" w:rsidR="00A44B35" w:rsidRPr="00BB5ADD" w:rsidRDefault="00A44B35" w:rsidP="00CF3785">
      <w:pPr>
        <w:jc w:val="center"/>
      </w:pPr>
    </w:p>
    <w:p w14:paraId="0201A57F" w14:textId="601164B3" w:rsidR="00A44B35" w:rsidRPr="00BB5ADD" w:rsidRDefault="00A44B35" w:rsidP="00A44B35">
      <w:pPr>
        <w:ind w:left="180" w:hanging="180"/>
        <w:rPr>
          <w:rFonts w:asciiTheme="majorBidi" w:hAnsiTheme="majorBidi" w:cstheme="majorBidi"/>
        </w:rPr>
      </w:pPr>
      <w:r w:rsidRPr="00BB5ADD">
        <w:rPr>
          <w:rFonts w:asciiTheme="majorBidi" w:hAnsiTheme="majorBidi" w:cstheme="majorBidi"/>
          <w:vertAlign w:val="superscript"/>
        </w:rPr>
        <w:t xml:space="preserve">a </w:t>
      </w:r>
      <w:r w:rsidRPr="00BB5ADD">
        <w:rPr>
          <w:rFonts w:asciiTheme="majorBidi" w:hAnsiTheme="majorBidi" w:cstheme="majorBidi"/>
        </w:rPr>
        <w:t>Independent Researcher, Advanced Biological Research Group ABRG.org, McCullough Foundation, IPAK-EDU.</w:t>
      </w:r>
    </w:p>
    <w:p w14:paraId="1436A6D9" w14:textId="44457FC5" w:rsidR="00A44B35" w:rsidRPr="00BB5ADD" w:rsidRDefault="00A44B35" w:rsidP="00A44B35">
      <w:pPr>
        <w:rPr>
          <w:rFonts w:asciiTheme="majorBidi" w:hAnsiTheme="majorBidi" w:cstheme="majorBidi"/>
        </w:rPr>
      </w:pPr>
      <w:r w:rsidRPr="00BB5ADD">
        <w:rPr>
          <w:rFonts w:asciiTheme="majorBidi" w:hAnsiTheme="majorBidi" w:cstheme="majorBidi"/>
          <w:vertAlign w:val="superscript"/>
        </w:rPr>
        <w:t xml:space="preserve">b </w:t>
      </w:r>
      <w:r w:rsidRPr="00BB5ADD">
        <w:rPr>
          <w:rFonts w:asciiTheme="majorBidi" w:hAnsiTheme="majorBidi" w:cstheme="majorBidi"/>
        </w:rPr>
        <w:t>Independent Researcher, Chief of Maternal and Prenatal Health at The Wellness Company. Ob/Gyn and Maternal-Fetal Medicine Subspecialist as an Independent Contractor. Gulf Breeze, FL. Advanced Biological Research Group ABRG.org.</w:t>
      </w:r>
    </w:p>
    <w:p w14:paraId="18351CCF" w14:textId="3F48F9F1" w:rsidR="00A44B35" w:rsidRPr="00BB5ADD" w:rsidRDefault="00A44B35" w:rsidP="00A44B35">
      <w:pPr>
        <w:ind w:left="180" w:hanging="180"/>
        <w:rPr>
          <w:rFonts w:asciiTheme="majorBidi" w:hAnsiTheme="majorBidi" w:cstheme="majorBidi"/>
        </w:rPr>
      </w:pPr>
      <w:r w:rsidRPr="00BB5ADD">
        <w:rPr>
          <w:rFonts w:asciiTheme="majorBidi" w:hAnsiTheme="majorBidi" w:cstheme="majorBidi"/>
          <w:vertAlign w:val="superscript"/>
        </w:rPr>
        <w:t xml:space="preserve">c </w:t>
      </w:r>
      <w:r w:rsidRPr="00BB5ADD">
        <w:rPr>
          <w:rFonts w:asciiTheme="majorBidi" w:hAnsiTheme="majorBidi" w:cstheme="majorBidi"/>
        </w:rPr>
        <w:t>Independent Researcher</w:t>
      </w:r>
      <w:r w:rsidR="006A1E2E" w:rsidRPr="00BB5ADD">
        <w:rPr>
          <w:rFonts w:asciiTheme="majorBidi" w:hAnsiTheme="majorBidi" w:cstheme="majorBidi"/>
        </w:rPr>
        <w:t xml:space="preserve">, </w:t>
      </w:r>
      <w:r w:rsidR="00D411FB" w:rsidRPr="00BB5ADD">
        <w:rPr>
          <w:rFonts w:asciiTheme="majorBidi" w:hAnsiTheme="majorBidi" w:cstheme="majorBidi"/>
        </w:rPr>
        <w:t xml:space="preserve">COVID-19 Clinical Care, </w:t>
      </w:r>
      <w:r w:rsidR="006A1E2E" w:rsidRPr="00BB5ADD">
        <w:rPr>
          <w:rFonts w:asciiTheme="majorBidi" w:hAnsiTheme="majorBidi" w:cstheme="majorBidi"/>
        </w:rPr>
        <w:t>McCullough Foundation</w:t>
      </w:r>
      <w:r w:rsidRPr="00BB5ADD">
        <w:rPr>
          <w:rFonts w:asciiTheme="majorBidi" w:hAnsiTheme="majorBidi" w:cstheme="majorBidi"/>
        </w:rPr>
        <w:t>.</w:t>
      </w:r>
    </w:p>
    <w:p w14:paraId="5EFF1053" w14:textId="605BC14A" w:rsidR="00A44B35" w:rsidRPr="00BB5ADD" w:rsidRDefault="00A44B35" w:rsidP="00A44B35">
      <w:pPr>
        <w:ind w:left="180" w:hanging="180"/>
        <w:rPr>
          <w:rFonts w:asciiTheme="majorBidi" w:hAnsiTheme="majorBidi" w:cstheme="majorBidi"/>
        </w:rPr>
      </w:pPr>
      <w:r w:rsidRPr="00BB5ADD">
        <w:rPr>
          <w:rFonts w:asciiTheme="majorBidi" w:hAnsiTheme="majorBidi" w:cstheme="majorBidi"/>
          <w:vertAlign w:val="superscript"/>
        </w:rPr>
        <w:t xml:space="preserve">d </w:t>
      </w:r>
      <w:r w:rsidRPr="00BB5ADD">
        <w:rPr>
          <w:rFonts w:asciiTheme="majorBidi" w:hAnsiTheme="majorBidi" w:cstheme="majorBidi"/>
        </w:rPr>
        <w:t>London Center for Policy Research.</w:t>
      </w:r>
    </w:p>
    <w:p w14:paraId="2B7A750D" w14:textId="07472FE1" w:rsidR="00A44B35" w:rsidRDefault="00A33350" w:rsidP="00A44B35">
      <w:pPr>
        <w:ind w:left="180" w:hanging="180"/>
        <w:rPr>
          <w:rFonts w:asciiTheme="majorBidi" w:hAnsiTheme="majorBidi" w:cstheme="majorBidi"/>
        </w:rPr>
      </w:pPr>
      <w:r>
        <w:rPr>
          <w:rFonts w:asciiTheme="majorBidi" w:hAnsiTheme="majorBidi" w:cstheme="majorBidi"/>
          <w:vertAlign w:val="superscript"/>
        </w:rPr>
        <w:t>e</w:t>
      </w:r>
      <w:r w:rsidR="00A44B35" w:rsidRPr="00BB5ADD">
        <w:rPr>
          <w:rFonts w:asciiTheme="majorBidi" w:hAnsiTheme="majorBidi" w:cstheme="majorBidi"/>
        </w:rPr>
        <w:t xml:space="preserve"> </w:t>
      </w:r>
      <w:r>
        <w:rPr>
          <w:rFonts w:asciiTheme="majorBidi" w:hAnsiTheme="majorBidi" w:cstheme="majorBidi"/>
        </w:rPr>
        <w:t>Epidemiology Department</w:t>
      </w:r>
      <w:r w:rsidR="0033400A">
        <w:rPr>
          <w:rFonts w:asciiTheme="majorBidi" w:hAnsiTheme="majorBidi" w:cstheme="majorBidi"/>
        </w:rPr>
        <w:t xml:space="preserve">, </w:t>
      </w:r>
      <w:r w:rsidR="00A44B35" w:rsidRPr="00BB5ADD">
        <w:rPr>
          <w:rFonts w:asciiTheme="majorBidi" w:hAnsiTheme="majorBidi" w:cstheme="majorBidi"/>
        </w:rPr>
        <w:t>McCullough Foundation, Dallas, TX</w:t>
      </w:r>
      <w:r w:rsidR="0033400A">
        <w:rPr>
          <w:rFonts w:asciiTheme="majorBidi" w:hAnsiTheme="majorBidi" w:cstheme="majorBidi"/>
        </w:rPr>
        <w:t>.</w:t>
      </w:r>
    </w:p>
    <w:p w14:paraId="6ACD17AB" w14:textId="0D9595D0" w:rsidR="00CC0619" w:rsidRPr="00CC0619" w:rsidRDefault="00CC0619" w:rsidP="00A44B35">
      <w:pPr>
        <w:ind w:left="180" w:hanging="180"/>
        <w:rPr>
          <w:rStyle w:val="Hyperlink"/>
          <w:rFonts w:asciiTheme="majorBidi" w:hAnsiTheme="majorBidi" w:cstheme="majorBidi"/>
          <w:color w:val="auto"/>
        </w:rPr>
      </w:pPr>
      <w:r>
        <w:rPr>
          <w:rFonts w:asciiTheme="majorBidi" w:hAnsiTheme="majorBidi" w:cstheme="majorBidi"/>
          <w:vertAlign w:val="superscript"/>
        </w:rPr>
        <w:t xml:space="preserve">f </w:t>
      </w:r>
      <w:r>
        <w:rPr>
          <w:rFonts w:asciiTheme="majorBidi" w:hAnsiTheme="majorBidi" w:cstheme="majorBidi"/>
        </w:rPr>
        <w:t>President, McCullough Foundation, Dallas, TX.</w:t>
      </w:r>
    </w:p>
    <w:p w14:paraId="489EEDF7" w14:textId="5B1DE785" w:rsidR="00A44B35" w:rsidRPr="00BB5ADD" w:rsidRDefault="00A44B35" w:rsidP="00A44B35">
      <w:pPr>
        <w:rPr>
          <w:rFonts w:asciiTheme="majorBidi" w:hAnsiTheme="majorBidi" w:cstheme="majorBidi"/>
        </w:rPr>
      </w:pPr>
      <w:r w:rsidRPr="00BB5ADD">
        <w:rPr>
          <w:rFonts w:asciiTheme="majorBidi" w:hAnsiTheme="majorBidi" w:cstheme="majorBidi"/>
        </w:rPr>
        <w:t xml:space="preserve">*Correspondence: </w:t>
      </w:r>
      <w:hyperlink r:id="rId8" w:history="1">
        <w:r w:rsidRPr="00BB5ADD">
          <w:rPr>
            <w:rStyle w:val="Hyperlink"/>
            <w:rFonts w:asciiTheme="majorBidi" w:hAnsiTheme="majorBidi" w:cstheme="majorBidi"/>
            <w:color w:val="auto"/>
          </w:rPr>
          <w:t>kirstincosgrove@outlook.com</w:t>
        </w:r>
      </w:hyperlink>
    </w:p>
    <w:p w14:paraId="4FDC502E" w14:textId="77777777" w:rsidR="00A44B35" w:rsidRPr="00BB5ADD" w:rsidRDefault="00A44B35" w:rsidP="00A44B35">
      <w:pPr>
        <w:rPr>
          <w:rFonts w:asciiTheme="majorBidi" w:hAnsiTheme="majorBidi" w:cstheme="majorBidi"/>
        </w:rPr>
      </w:pPr>
    </w:p>
    <w:p w14:paraId="27DA421E" w14:textId="19416D93" w:rsidR="00A44B35" w:rsidRPr="00BB5ADD" w:rsidRDefault="00A44B35" w:rsidP="00CF3785">
      <w:pPr>
        <w:spacing w:line="360" w:lineRule="auto"/>
        <w:rPr>
          <w:rFonts w:asciiTheme="minorBidi" w:hAnsiTheme="minorBidi"/>
        </w:rPr>
      </w:pPr>
      <w:r w:rsidRPr="00BB5ADD">
        <w:rPr>
          <w:rFonts w:asciiTheme="majorBidi" w:hAnsiTheme="majorBidi" w:cstheme="majorBidi"/>
          <w:b/>
          <w:bCs/>
        </w:rPr>
        <w:t>Keywords:</w:t>
      </w:r>
      <w:r w:rsidRPr="00BB5ADD">
        <w:rPr>
          <w:rFonts w:asciiTheme="majorBidi" w:hAnsiTheme="majorBidi" w:cstheme="majorBidi"/>
        </w:rPr>
        <w:t xml:space="preserve">  COVID-19 vaccines, Central nervous system disorder, Central nervous system infection, Central nervous system herpes infection, Central nervous system abscess, </w:t>
      </w:r>
      <w:r w:rsidR="00B10EA2" w:rsidRPr="00BB5ADD">
        <w:rPr>
          <w:rFonts w:asciiTheme="majorBidi" w:hAnsiTheme="majorBidi" w:cstheme="majorBidi"/>
        </w:rPr>
        <w:t>P</w:t>
      </w:r>
      <w:r w:rsidRPr="00BB5ADD">
        <w:rPr>
          <w:rFonts w:asciiTheme="majorBidi" w:hAnsiTheme="majorBidi" w:cstheme="majorBidi"/>
        </w:rPr>
        <w:t xml:space="preserve">rion disease, </w:t>
      </w:r>
      <w:r w:rsidR="00B10EA2" w:rsidRPr="00BB5ADD">
        <w:rPr>
          <w:rFonts w:asciiTheme="majorBidi" w:hAnsiTheme="majorBidi" w:cstheme="majorBidi"/>
        </w:rPr>
        <w:t>D</w:t>
      </w:r>
      <w:r w:rsidRPr="00BB5ADD">
        <w:rPr>
          <w:rFonts w:asciiTheme="majorBidi" w:hAnsiTheme="majorBidi" w:cstheme="majorBidi"/>
        </w:rPr>
        <w:t xml:space="preserve">emyelinating </w:t>
      </w:r>
      <w:r w:rsidR="00092E2E">
        <w:rPr>
          <w:rFonts w:asciiTheme="majorBidi" w:hAnsiTheme="majorBidi" w:cstheme="majorBidi"/>
        </w:rPr>
        <w:t>disease</w:t>
      </w:r>
    </w:p>
    <w:p w14:paraId="402B305A" w14:textId="29F22422" w:rsidR="00A44B35" w:rsidRPr="00BB5ADD" w:rsidRDefault="00A44B35" w:rsidP="00A44B35">
      <w:pPr>
        <w:spacing w:line="360" w:lineRule="auto"/>
        <w:rPr>
          <w:rFonts w:asciiTheme="majorBidi" w:hAnsiTheme="majorBidi" w:cstheme="majorBidi"/>
        </w:rPr>
      </w:pPr>
    </w:p>
    <w:p w14:paraId="53EAB380" w14:textId="77777777" w:rsidR="00A44B35" w:rsidRPr="00BB5ADD" w:rsidRDefault="00A44B35" w:rsidP="00A44B35">
      <w:pPr>
        <w:spacing w:line="360" w:lineRule="auto"/>
        <w:rPr>
          <w:rFonts w:asciiTheme="majorBidi" w:hAnsiTheme="majorBidi" w:cstheme="majorBidi"/>
        </w:rPr>
      </w:pPr>
      <w:r w:rsidRPr="00BB5ADD">
        <w:rPr>
          <w:rFonts w:asciiTheme="majorBidi" w:hAnsiTheme="majorBidi" w:cstheme="majorBidi"/>
          <w:b/>
          <w:bCs/>
        </w:rPr>
        <w:t>Grant/Financial Information</w:t>
      </w:r>
      <w:r w:rsidRPr="00BB5ADD">
        <w:rPr>
          <w:rFonts w:asciiTheme="majorBidi" w:hAnsiTheme="majorBidi" w:cstheme="majorBidi"/>
        </w:rPr>
        <w:t xml:space="preserve">:  No funding. </w:t>
      </w:r>
    </w:p>
    <w:p w14:paraId="6DF5284A" w14:textId="77777777" w:rsidR="00A44B35" w:rsidRPr="00BB5ADD" w:rsidRDefault="00A44B35" w:rsidP="00A44B35">
      <w:pPr>
        <w:spacing w:line="360" w:lineRule="auto"/>
        <w:rPr>
          <w:rFonts w:asciiTheme="majorBidi" w:hAnsiTheme="majorBidi" w:cstheme="majorBidi"/>
        </w:rPr>
      </w:pPr>
      <w:r w:rsidRPr="00BB5ADD">
        <w:rPr>
          <w:rFonts w:asciiTheme="majorBidi" w:hAnsiTheme="majorBidi" w:cstheme="majorBidi"/>
          <w:b/>
          <w:bCs/>
        </w:rPr>
        <w:t>Conflicts of Interest/Competing Interest:</w:t>
      </w:r>
      <w:r w:rsidRPr="00BB5ADD">
        <w:rPr>
          <w:rFonts w:asciiTheme="majorBidi" w:hAnsiTheme="majorBidi" w:cstheme="majorBidi"/>
        </w:rPr>
        <w:t xml:space="preserve"> All the authors declare none.</w:t>
      </w:r>
    </w:p>
    <w:p w14:paraId="76DFFE86" w14:textId="77777777" w:rsidR="00A44B35" w:rsidRPr="00BB5ADD" w:rsidRDefault="00A44B35" w:rsidP="00A44B35">
      <w:pPr>
        <w:spacing w:line="360" w:lineRule="auto"/>
        <w:rPr>
          <w:rFonts w:asciiTheme="majorBidi" w:hAnsiTheme="majorBidi" w:cstheme="majorBidi"/>
        </w:rPr>
      </w:pPr>
    </w:p>
    <w:p w14:paraId="71178336" w14:textId="707DECF3" w:rsidR="00A44B35" w:rsidRPr="00BB5ADD" w:rsidRDefault="00A44B35" w:rsidP="00A465B9">
      <w:pPr>
        <w:spacing w:line="360" w:lineRule="auto"/>
        <w:ind w:left="180" w:hanging="180"/>
        <w:rPr>
          <w:rFonts w:asciiTheme="majorBidi" w:hAnsiTheme="majorBidi" w:cstheme="majorBidi"/>
        </w:rPr>
      </w:pPr>
      <w:r w:rsidRPr="00BB5ADD">
        <w:rPr>
          <w:rFonts w:asciiTheme="majorBidi" w:hAnsiTheme="majorBidi" w:cstheme="majorBidi"/>
          <w:vertAlign w:val="superscript"/>
        </w:rPr>
        <w:t>a</w:t>
      </w:r>
      <w:r w:rsidRPr="00BB5ADD">
        <w:rPr>
          <w:rFonts w:asciiTheme="majorBidi" w:hAnsiTheme="majorBidi" w:cstheme="majorBidi"/>
        </w:rPr>
        <w:t xml:space="preserve"> KC: </w:t>
      </w:r>
      <w:r w:rsidR="000E0F64" w:rsidRPr="00BB5ADD">
        <w:rPr>
          <w:rFonts w:asciiTheme="majorBidi" w:hAnsiTheme="majorBidi" w:cstheme="majorBidi"/>
        </w:rPr>
        <w:t xml:space="preserve"> </w:t>
      </w:r>
      <w:r w:rsidR="00D0191A" w:rsidRPr="00BB5ADD">
        <w:rPr>
          <w:rFonts w:asciiTheme="majorBidi" w:hAnsiTheme="majorBidi" w:cstheme="majorBidi"/>
        </w:rPr>
        <w:t xml:space="preserve"> </w:t>
      </w:r>
      <w:r w:rsidR="000E0F64" w:rsidRPr="00BB5ADD">
        <w:rPr>
          <w:rFonts w:asciiTheme="majorBidi" w:hAnsiTheme="majorBidi" w:cstheme="majorBidi"/>
        </w:rPr>
        <w:t xml:space="preserve"> </w:t>
      </w:r>
      <w:r w:rsidRPr="00BB5ADD">
        <w:rPr>
          <w:rFonts w:asciiTheme="majorBidi" w:hAnsiTheme="majorBidi" w:cstheme="majorBidi"/>
        </w:rPr>
        <w:t>kirstincosgrove@outlook.com</w:t>
      </w:r>
    </w:p>
    <w:p w14:paraId="2E1190D9" w14:textId="3BF9CA41" w:rsidR="00A44B35" w:rsidRPr="00BB5ADD" w:rsidRDefault="00A44B35" w:rsidP="00A465B9">
      <w:pPr>
        <w:spacing w:line="360" w:lineRule="auto"/>
        <w:ind w:left="180" w:hanging="180"/>
        <w:rPr>
          <w:rFonts w:asciiTheme="majorBidi" w:hAnsiTheme="majorBidi" w:cstheme="majorBidi"/>
        </w:rPr>
      </w:pPr>
      <w:r w:rsidRPr="00BB5ADD">
        <w:rPr>
          <w:rFonts w:asciiTheme="majorBidi" w:hAnsiTheme="majorBidi" w:cstheme="majorBidi"/>
          <w:vertAlign w:val="superscript"/>
        </w:rPr>
        <w:t xml:space="preserve">b </w:t>
      </w:r>
      <w:r w:rsidRPr="00BB5ADD">
        <w:rPr>
          <w:rFonts w:asciiTheme="majorBidi" w:hAnsiTheme="majorBidi" w:cstheme="majorBidi"/>
        </w:rPr>
        <w:t xml:space="preserve">JAT: </w:t>
      </w:r>
      <w:r w:rsidR="00D0191A" w:rsidRPr="00BB5ADD">
        <w:rPr>
          <w:rFonts w:asciiTheme="majorBidi" w:hAnsiTheme="majorBidi" w:cstheme="majorBidi"/>
        </w:rPr>
        <w:t xml:space="preserve"> </w:t>
      </w:r>
      <w:r w:rsidRPr="00BB5ADD">
        <w:rPr>
          <w:rFonts w:asciiTheme="majorBidi" w:hAnsiTheme="majorBidi" w:cstheme="majorBidi"/>
        </w:rPr>
        <w:t xml:space="preserve"> </w:t>
      </w:r>
      <w:hyperlink r:id="rId9" w:history="1">
        <w:r w:rsidRPr="00BB5ADD">
          <w:rPr>
            <w:rStyle w:val="Hyperlink"/>
            <w:rFonts w:asciiTheme="majorBidi" w:hAnsiTheme="majorBidi" w:cstheme="majorBidi"/>
            <w:color w:val="auto"/>
            <w:u w:val="none"/>
          </w:rPr>
          <w:t>jathorpmfm@proton.me</w:t>
        </w:r>
      </w:hyperlink>
    </w:p>
    <w:p w14:paraId="72EEB3C3" w14:textId="44157872" w:rsidR="00A44B35" w:rsidRPr="00BB5ADD" w:rsidRDefault="00A44B35" w:rsidP="00A465B9">
      <w:pPr>
        <w:spacing w:line="360" w:lineRule="auto"/>
        <w:rPr>
          <w:rFonts w:asciiTheme="majorBidi" w:hAnsiTheme="majorBidi" w:cstheme="majorBidi"/>
        </w:rPr>
      </w:pPr>
      <w:r w:rsidRPr="00BB5ADD">
        <w:rPr>
          <w:rFonts w:asciiTheme="majorBidi" w:hAnsiTheme="majorBidi" w:cstheme="majorBidi"/>
          <w:vertAlign w:val="superscript"/>
        </w:rPr>
        <w:t xml:space="preserve">c </w:t>
      </w:r>
      <w:r w:rsidRPr="00BB5ADD">
        <w:rPr>
          <w:rFonts w:asciiTheme="majorBidi" w:hAnsiTheme="majorBidi" w:cstheme="majorBidi"/>
        </w:rPr>
        <w:t xml:space="preserve">CR:  </w:t>
      </w:r>
      <w:r w:rsidR="000E0F64" w:rsidRPr="00BB5ADD">
        <w:rPr>
          <w:rFonts w:asciiTheme="majorBidi" w:hAnsiTheme="majorBidi" w:cstheme="majorBidi"/>
        </w:rPr>
        <w:t xml:space="preserve">   </w:t>
      </w:r>
      <w:r w:rsidRPr="00BB5ADD">
        <w:rPr>
          <w:rFonts w:asciiTheme="majorBidi" w:hAnsiTheme="majorBidi" w:cstheme="majorBidi"/>
        </w:rPr>
        <w:t>jclaireprice@gmail.com</w:t>
      </w:r>
    </w:p>
    <w:p w14:paraId="0BB15237" w14:textId="4AFE6147" w:rsidR="00A44B35" w:rsidRDefault="00A44B35" w:rsidP="00A465B9">
      <w:pPr>
        <w:spacing w:line="360" w:lineRule="auto"/>
        <w:ind w:left="180" w:hanging="180"/>
        <w:rPr>
          <w:rFonts w:asciiTheme="majorBidi" w:hAnsiTheme="majorBidi" w:cstheme="majorBidi"/>
        </w:rPr>
      </w:pPr>
      <w:r w:rsidRPr="00BB5ADD">
        <w:rPr>
          <w:rFonts w:asciiTheme="majorBidi" w:hAnsiTheme="majorBidi" w:cstheme="majorBidi"/>
          <w:vertAlign w:val="superscript"/>
        </w:rPr>
        <w:t xml:space="preserve">d </w:t>
      </w:r>
      <w:r w:rsidRPr="00BB5ADD">
        <w:rPr>
          <w:rFonts w:asciiTheme="majorBidi" w:hAnsiTheme="majorBidi" w:cstheme="majorBidi"/>
        </w:rPr>
        <w:t xml:space="preserve">SH: </w:t>
      </w:r>
      <w:r w:rsidR="000E0F64" w:rsidRPr="00BB5ADD">
        <w:rPr>
          <w:rFonts w:asciiTheme="majorBidi" w:hAnsiTheme="majorBidi" w:cstheme="majorBidi"/>
        </w:rPr>
        <w:t xml:space="preserve">    </w:t>
      </w:r>
      <w:r w:rsidRPr="00BB5ADD">
        <w:rPr>
          <w:rFonts w:asciiTheme="majorBidi" w:hAnsiTheme="majorBidi" w:cstheme="majorBidi"/>
        </w:rPr>
        <w:t xml:space="preserve">drstevenhatfill.com </w:t>
      </w:r>
    </w:p>
    <w:p w14:paraId="2FAC223F" w14:textId="116F2A24" w:rsidR="00A465B9" w:rsidRDefault="00CC0619" w:rsidP="00A465B9">
      <w:pPr>
        <w:spacing w:line="360" w:lineRule="auto"/>
      </w:pPr>
      <w:r>
        <w:rPr>
          <w:vertAlign w:val="superscript"/>
        </w:rPr>
        <w:t>e</w:t>
      </w:r>
      <w:r w:rsidR="00A465B9">
        <w:rPr>
          <w:vertAlign w:val="superscript"/>
        </w:rPr>
        <w:t xml:space="preserve"> </w:t>
      </w:r>
      <w:r>
        <w:t xml:space="preserve">NH: </w:t>
      </w:r>
      <w:r w:rsidR="00A465B9">
        <w:t xml:space="preserve">    </w:t>
      </w:r>
      <w:r w:rsidR="00FB4216" w:rsidRPr="00FB4216">
        <w:t>nichulscher@gmail</w:t>
      </w:r>
      <w:r w:rsidR="00FB4216">
        <w:t>.com</w:t>
      </w:r>
    </w:p>
    <w:p w14:paraId="6BB8CB61" w14:textId="54761918" w:rsidR="004E7C4A" w:rsidRPr="00A465B9" w:rsidRDefault="00CC0619" w:rsidP="00A465B9">
      <w:pPr>
        <w:spacing w:line="360" w:lineRule="auto"/>
        <w:rPr>
          <w:rFonts w:asciiTheme="majorBidi" w:hAnsiTheme="majorBidi" w:cstheme="majorBidi"/>
        </w:rPr>
      </w:pPr>
      <w:r>
        <w:rPr>
          <w:rFonts w:asciiTheme="majorBidi" w:hAnsiTheme="majorBidi" w:cstheme="majorBidi"/>
          <w:vertAlign w:val="superscript"/>
        </w:rPr>
        <w:t>f</w:t>
      </w:r>
      <w:r w:rsidR="00A44B35" w:rsidRPr="00BB5ADD">
        <w:rPr>
          <w:rFonts w:asciiTheme="majorBidi" w:hAnsiTheme="majorBidi" w:cstheme="majorBidi"/>
        </w:rPr>
        <w:t xml:space="preserve"> PMC:</w:t>
      </w:r>
      <w:r w:rsidR="00D0191A" w:rsidRPr="00BB5ADD">
        <w:rPr>
          <w:rFonts w:asciiTheme="majorBidi" w:hAnsiTheme="majorBidi" w:cstheme="majorBidi"/>
        </w:rPr>
        <w:t xml:space="preserve"> </w:t>
      </w:r>
      <w:r w:rsidR="00A44B35" w:rsidRPr="00BB5ADD">
        <w:rPr>
          <w:rFonts w:asciiTheme="majorBidi" w:hAnsiTheme="majorBidi" w:cstheme="majorBidi"/>
        </w:rPr>
        <w:t xml:space="preserve"> </w:t>
      </w:r>
      <w:r w:rsidR="00970E34" w:rsidRPr="00970E34">
        <w:t>peteramccullough@gmail.com</w:t>
      </w:r>
      <w:r w:rsidR="00970E34" w:rsidRPr="00CA1940" w:rsidDel="00970E34">
        <w:t xml:space="preserve"> </w:t>
      </w:r>
    </w:p>
    <w:p w14:paraId="3BD607D0" w14:textId="77777777" w:rsidR="00A33350" w:rsidRDefault="00A33350" w:rsidP="00A44B35"/>
    <w:p w14:paraId="01735C62" w14:textId="77777777" w:rsidR="00A44B35" w:rsidRPr="00BB5ADD" w:rsidRDefault="00A44B35" w:rsidP="00337378">
      <w:pPr>
        <w:pStyle w:val="NormalWeb"/>
        <w:shd w:val="clear" w:color="auto" w:fill="FFFFFF"/>
        <w:spacing w:before="0" w:beforeAutospacing="0" w:after="160" w:afterAutospacing="0" w:line="360" w:lineRule="auto"/>
        <w:rPr>
          <w:rFonts w:ascii="var(--docx-majorBidi-font)" w:hAnsi="var(--docx-majorBidi-font)"/>
          <w:sz w:val="28"/>
          <w:szCs w:val="28"/>
        </w:rPr>
      </w:pPr>
    </w:p>
    <w:p w14:paraId="59AF5B4F" w14:textId="77777777" w:rsidR="00A44B35" w:rsidRPr="00BB5ADD" w:rsidRDefault="00A44B35" w:rsidP="00337378">
      <w:pPr>
        <w:pStyle w:val="NormalWeb"/>
        <w:shd w:val="clear" w:color="auto" w:fill="FFFFFF"/>
        <w:spacing w:before="0" w:beforeAutospacing="0" w:after="160" w:afterAutospacing="0" w:line="360" w:lineRule="auto"/>
        <w:rPr>
          <w:rFonts w:ascii="var(--docx-majorBidi-font)" w:hAnsi="var(--docx-majorBidi-font)"/>
          <w:sz w:val="28"/>
          <w:szCs w:val="28"/>
        </w:rPr>
      </w:pPr>
    </w:p>
    <w:p w14:paraId="3FB815E0" w14:textId="77777777" w:rsidR="00A44B35" w:rsidRPr="00BB5ADD" w:rsidRDefault="00A44B35" w:rsidP="00337378">
      <w:pPr>
        <w:pStyle w:val="NormalWeb"/>
        <w:shd w:val="clear" w:color="auto" w:fill="FFFFFF"/>
        <w:spacing w:before="0" w:beforeAutospacing="0" w:after="160" w:afterAutospacing="0" w:line="360" w:lineRule="auto"/>
        <w:rPr>
          <w:rFonts w:ascii="var(--docx-majorBidi-font)" w:hAnsi="var(--docx-majorBidi-font)"/>
          <w:sz w:val="28"/>
          <w:szCs w:val="28"/>
        </w:rPr>
      </w:pPr>
    </w:p>
    <w:p w14:paraId="7E41AA7A" w14:textId="77777777" w:rsidR="00A44B35" w:rsidRPr="00BB5ADD" w:rsidRDefault="00A44B35" w:rsidP="00337378">
      <w:pPr>
        <w:pStyle w:val="NormalWeb"/>
        <w:shd w:val="clear" w:color="auto" w:fill="FFFFFF"/>
        <w:spacing w:before="0" w:beforeAutospacing="0" w:after="160" w:afterAutospacing="0" w:line="360" w:lineRule="auto"/>
        <w:rPr>
          <w:rFonts w:ascii="var(--docx-majorBidi-font)" w:hAnsi="var(--docx-majorBidi-font)"/>
          <w:sz w:val="28"/>
          <w:szCs w:val="28"/>
        </w:rPr>
      </w:pPr>
    </w:p>
    <w:p w14:paraId="78ACB7AB" w14:textId="77777777" w:rsidR="00A44B35" w:rsidRPr="00BB5ADD" w:rsidRDefault="00A44B35" w:rsidP="00337378">
      <w:pPr>
        <w:pStyle w:val="NormalWeb"/>
        <w:shd w:val="clear" w:color="auto" w:fill="FFFFFF"/>
        <w:spacing w:before="0" w:beforeAutospacing="0" w:after="160" w:afterAutospacing="0" w:line="360" w:lineRule="auto"/>
        <w:rPr>
          <w:rFonts w:ascii="var(--docx-majorBidi-font)" w:hAnsi="var(--docx-majorBidi-font)"/>
          <w:sz w:val="28"/>
          <w:szCs w:val="28"/>
        </w:rPr>
      </w:pPr>
    </w:p>
    <w:p w14:paraId="6EE4CC04" w14:textId="266B4858" w:rsidR="00384074" w:rsidRPr="00BB5ADD" w:rsidRDefault="00384074" w:rsidP="00CF3785">
      <w:pPr>
        <w:pStyle w:val="NormalWeb"/>
        <w:shd w:val="clear" w:color="auto" w:fill="FFFFFF"/>
        <w:spacing w:before="0" w:beforeAutospacing="0" w:after="160" w:afterAutospacing="0" w:line="360" w:lineRule="auto"/>
        <w:jc w:val="center"/>
        <w:rPr>
          <w:b/>
          <w:bCs/>
        </w:rPr>
      </w:pPr>
      <w:r w:rsidRPr="00BB5ADD">
        <w:rPr>
          <w:b/>
          <w:bCs/>
        </w:rPr>
        <w:t>Abstract</w:t>
      </w:r>
    </w:p>
    <w:p w14:paraId="0D9DC720" w14:textId="62E6746D" w:rsidR="00012262" w:rsidRPr="00BB5ADD" w:rsidRDefault="003607A5" w:rsidP="00337378">
      <w:pPr>
        <w:pStyle w:val="NormalWeb"/>
        <w:shd w:val="clear" w:color="auto" w:fill="FFFFFF"/>
        <w:spacing w:before="0" w:beforeAutospacing="0" w:after="160" w:afterAutospacing="0" w:line="360" w:lineRule="auto"/>
      </w:pPr>
      <w:r w:rsidRPr="00BB5ADD">
        <w:rPr>
          <w:b/>
          <w:bCs/>
        </w:rPr>
        <w:t>Introduction</w:t>
      </w:r>
      <w:r w:rsidRPr="00BB5ADD">
        <w:t xml:space="preserve">: </w:t>
      </w:r>
      <w:r w:rsidR="00FF41A3" w:rsidRPr="00BB5ADD">
        <w:t xml:space="preserve">Neuroinflammatory conditions involving the </w:t>
      </w:r>
      <w:r w:rsidR="00012262" w:rsidRPr="00BB5ADD">
        <w:t xml:space="preserve">Central Nervous System (CNS) are on the rise and while </w:t>
      </w:r>
      <w:r w:rsidR="00092E2E">
        <w:t xml:space="preserve">the </w:t>
      </w:r>
      <w:r w:rsidR="00B10EA2" w:rsidRPr="00BB5ADD">
        <w:t>etiology is currently unknown</w:t>
      </w:r>
      <w:r w:rsidR="00B10EA2" w:rsidRPr="00BB5ADD" w:rsidDel="00B10EA2">
        <w:t xml:space="preserve"> </w:t>
      </w:r>
      <w:r w:rsidR="00012262" w:rsidRPr="00BB5ADD">
        <w:t xml:space="preserve">the </w:t>
      </w:r>
      <w:r w:rsidR="00B10EA2" w:rsidRPr="00BB5ADD">
        <w:t>parallel rise in cases to mass</w:t>
      </w:r>
      <w:r w:rsidR="00012262" w:rsidRPr="00BB5ADD">
        <w:t xml:space="preserve"> COVID-19 vaccin</w:t>
      </w:r>
      <w:r w:rsidR="00B10EA2" w:rsidRPr="00BB5ADD">
        <w:t>ation</w:t>
      </w:r>
      <w:r w:rsidR="00012262" w:rsidRPr="00BB5ADD">
        <w:t xml:space="preserve"> is of</w:t>
      </w:r>
      <w:r w:rsidR="00B10EA2" w:rsidRPr="00BB5ADD">
        <w:t xml:space="preserve"> particular</w:t>
      </w:r>
      <w:r w:rsidR="00012262" w:rsidRPr="00BB5ADD">
        <w:t xml:space="preserve"> interest. This study explores </w:t>
      </w:r>
      <w:r w:rsidR="00B10EA2" w:rsidRPr="00BB5ADD">
        <w:t>the</w:t>
      </w:r>
      <w:r w:rsidR="00012262" w:rsidRPr="00BB5ADD">
        <w:t xml:space="preserve"> association between the CNS infection rate and vaccination. </w:t>
      </w:r>
    </w:p>
    <w:p w14:paraId="4A2333DA" w14:textId="1C10349C" w:rsidR="003607A5" w:rsidRPr="00BB5ADD" w:rsidRDefault="003607A5" w:rsidP="003A0B8D">
      <w:pPr>
        <w:spacing w:after="160" w:line="360" w:lineRule="auto"/>
        <w:rPr>
          <w:rFonts w:ascii="Times" w:hAnsi="Times"/>
          <w:sz w:val="27"/>
          <w:szCs w:val="27"/>
        </w:rPr>
      </w:pPr>
      <w:r w:rsidRPr="00BB5ADD">
        <w:rPr>
          <w:b/>
          <w:bCs/>
        </w:rPr>
        <w:t>Methods</w:t>
      </w:r>
      <w:r w:rsidRPr="00BB5ADD">
        <w:t>:</w:t>
      </w:r>
      <w:r w:rsidR="006452B6" w:rsidRPr="00BB5ADD">
        <w:t xml:space="preserve"> Data were utilized from the </w:t>
      </w:r>
      <w:r w:rsidR="00360384" w:rsidRPr="00BB5ADD">
        <w:t xml:space="preserve">U.S. Centers for Disease Control and Prevention (CDC) and the U.S. Food and Drug Administration (FDA) </w:t>
      </w:r>
      <w:r w:rsidR="00360384" w:rsidRPr="00BB5ADD">
        <w:rPr>
          <w:i/>
          <w:iCs/>
        </w:rPr>
        <w:t>Vaccine Adverse Event Reporting System</w:t>
      </w:r>
      <w:r w:rsidR="00360384" w:rsidRPr="00BB5ADD">
        <w:t xml:space="preserve"> (VAERS). Adverse events (AEs) encompassing central nervous system conditions following</w:t>
      </w:r>
      <w:r w:rsidR="00B251D9">
        <w:t xml:space="preserve"> </w:t>
      </w:r>
      <w:r w:rsidR="00D46B9C">
        <w:t>all vaccines</w:t>
      </w:r>
      <w:r w:rsidR="00360384" w:rsidRPr="00BB5ADD">
        <w:t xml:space="preserve"> were queried </w:t>
      </w:r>
      <w:r w:rsidR="00F53CD9" w:rsidRPr="00BB5ADD">
        <w:t xml:space="preserve">from </w:t>
      </w:r>
      <w:r w:rsidR="002D0A09" w:rsidRPr="00BB5ADD">
        <w:t xml:space="preserve">January 1, </w:t>
      </w:r>
      <w:r w:rsidR="00F84B6B" w:rsidRPr="00BB5ADD">
        <w:t>1990,</w:t>
      </w:r>
      <w:r w:rsidR="002D0A09" w:rsidRPr="00BB5ADD">
        <w:t xml:space="preserve"> </w:t>
      </w:r>
      <w:r w:rsidR="00360384" w:rsidRPr="00BB5ADD">
        <w:t xml:space="preserve">through November </w:t>
      </w:r>
      <w:r w:rsidR="002D0A09" w:rsidRPr="00BB5ADD">
        <w:t>30</w:t>
      </w:r>
      <w:r w:rsidR="00360384" w:rsidRPr="00BB5ADD">
        <w:t xml:space="preserve">, 2024. The timeframe for all vaccines except COVID-19 vaccines </w:t>
      </w:r>
      <w:r w:rsidR="002D0A09" w:rsidRPr="00BB5ADD">
        <w:t xml:space="preserve">was 419 months and the timeframe for COVID-19 vaccines was 47 months (January 1, 2021, to November 30, 2024). Observed AEs are presented as </w:t>
      </w:r>
      <w:r w:rsidR="00B10EA2" w:rsidRPr="00BB5ADD">
        <w:t>o</w:t>
      </w:r>
      <w:r w:rsidR="006A1E2E" w:rsidRPr="00BB5ADD">
        <w:t>dds</w:t>
      </w:r>
      <w:r w:rsidR="00360384" w:rsidRPr="00BB5ADD">
        <w:t xml:space="preserve"> </w:t>
      </w:r>
      <w:r w:rsidR="00B10EA2" w:rsidRPr="00BB5ADD">
        <w:t>r</w:t>
      </w:r>
      <w:r w:rsidR="00360384" w:rsidRPr="00BB5ADD">
        <w:t>atios (</w:t>
      </w:r>
      <w:r w:rsidR="006A1E2E" w:rsidRPr="00BB5ADD">
        <w:t>ORs</w:t>
      </w:r>
      <w:r w:rsidR="00360384" w:rsidRPr="00BB5ADD">
        <w:t>) by time</w:t>
      </w:r>
      <w:r w:rsidR="002D0A09" w:rsidRPr="00BB5ADD">
        <w:t xml:space="preserve"> </w:t>
      </w:r>
      <w:r w:rsidR="00F84B6B" w:rsidRPr="00BB5ADD">
        <w:t xml:space="preserve">which </w:t>
      </w:r>
      <w:r w:rsidR="002D0A09" w:rsidRPr="00BB5ADD">
        <w:t>compare</w:t>
      </w:r>
      <w:r w:rsidR="00F84B6B" w:rsidRPr="00BB5ADD">
        <w:t xml:space="preserve"> these</w:t>
      </w:r>
      <w:r w:rsidR="002D0A09" w:rsidRPr="00BB5ADD">
        <w:t xml:space="preserve"> events</w:t>
      </w:r>
      <w:r w:rsidR="001274B9" w:rsidRPr="00BB5ADD">
        <w:t xml:space="preserve"> occurring</w:t>
      </w:r>
      <w:r w:rsidR="002D0A09" w:rsidRPr="00BB5ADD">
        <w:t xml:space="preserve"> </w:t>
      </w:r>
      <w:r w:rsidR="00360384" w:rsidRPr="00BB5ADD">
        <w:t xml:space="preserve">after COVID-19 vaccination to those after influenza vaccination and to those after all other vaccines. </w:t>
      </w:r>
    </w:p>
    <w:p w14:paraId="063C7937" w14:textId="24B728CC" w:rsidR="00B55C09" w:rsidRPr="00BB5ADD" w:rsidRDefault="003607A5" w:rsidP="005D53ED">
      <w:pPr>
        <w:pStyle w:val="NormalWeb"/>
        <w:shd w:val="clear" w:color="auto" w:fill="FFFFFF"/>
        <w:spacing w:before="0" w:beforeAutospacing="0" w:after="160" w:afterAutospacing="0" w:line="360" w:lineRule="auto"/>
        <w:rPr>
          <w:rFonts w:asciiTheme="majorBidi" w:hAnsiTheme="majorBidi" w:cstheme="majorBidi"/>
        </w:rPr>
      </w:pPr>
      <w:r w:rsidRPr="00BB5ADD">
        <w:rPr>
          <w:rFonts w:ascii="var(--docx-majorBidi-font)" w:hAnsi="var(--docx-majorBidi-font)"/>
          <w:b/>
          <w:bCs/>
        </w:rPr>
        <w:t>Results</w:t>
      </w:r>
      <w:r w:rsidRPr="00BB5ADD">
        <w:rPr>
          <w:rFonts w:ascii="var(--docx-majorBidi-font)" w:hAnsi="var(--docx-majorBidi-font)"/>
        </w:rPr>
        <w:t xml:space="preserve">: </w:t>
      </w:r>
      <w:r w:rsidR="004F6613" w:rsidRPr="00BB5ADD">
        <w:rPr>
          <w:rFonts w:asciiTheme="majorBidi" w:hAnsiTheme="majorBidi" w:cstheme="majorBidi"/>
        </w:rPr>
        <w:t>Comparing COVID-19 vaccination to</w:t>
      </w:r>
      <w:r w:rsidR="00DE4A55" w:rsidRPr="00BB5ADD">
        <w:rPr>
          <w:rFonts w:asciiTheme="majorBidi" w:hAnsiTheme="majorBidi" w:cstheme="majorBidi"/>
        </w:rPr>
        <w:t xml:space="preserve"> annual</w:t>
      </w:r>
      <w:r w:rsidR="004F6613" w:rsidRPr="00BB5ADD">
        <w:rPr>
          <w:rFonts w:asciiTheme="majorBidi" w:hAnsiTheme="majorBidi" w:cstheme="majorBidi"/>
        </w:rPr>
        <w:t xml:space="preserve"> influenza vaccinations</w:t>
      </w:r>
      <w:r w:rsidR="00680944" w:rsidRPr="00BB5ADD">
        <w:rPr>
          <w:rFonts w:asciiTheme="majorBidi" w:hAnsiTheme="majorBidi" w:cstheme="majorBidi"/>
        </w:rPr>
        <w:t xml:space="preserve"> and all vaccines combined</w:t>
      </w:r>
      <w:r w:rsidR="004F6613" w:rsidRPr="00BB5ADD">
        <w:rPr>
          <w:rFonts w:asciiTheme="majorBidi" w:hAnsiTheme="majorBidi" w:cstheme="majorBidi"/>
        </w:rPr>
        <w:t>, the CDC/FDA’s safety signal</w:t>
      </w:r>
      <w:r w:rsidR="000D22F9">
        <w:rPr>
          <w:rFonts w:asciiTheme="majorBidi" w:hAnsiTheme="majorBidi" w:cstheme="majorBidi"/>
        </w:rPr>
        <w:t xml:space="preserve"> thresholds</w:t>
      </w:r>
      <w:r w:rsidR="00C1070B" w:rsidRPr="00BB5ADD">
        <w:rPr>
          <w:rFonts w:asciiTheme="majorBidi" w:hAnsiTheme="majorBidi" w:cstheme="majorBidi"/>
        </w:rPr>
        <w:t xml:space="preserve"> were breached for the </w:t>
      </w:r>
      <w:r w:rsidR="000D22F9">
        <w:rPr>
          <w:rFonts w:asciiTheme="majorBidi" w:hAnsiTheme="majorBidi" w:cstheme="majorBidi"/>
        </w:rPr>
        <w:t xml:space="preserve">multiple </w:t>
      </w:r>
      <w:r w:rsidR="00335EDE">
        <w:rPr>
          <w:rFonts w:asciiTheme="majorBidi" w:hAnsiTheme="majorBidi" w:cstheme="majorBidi"/>
        </w:rPr>
        <w:t>outcomes</w:t>
      </w:r>
      <w:r w:rsidR="00952965" w:rsidRPr="00BB5ADD">
        <w:rPr>
          <w:rFonts w:asciiTheme="majorBidi" w:hAnsiTheme="majorBidi" w:cstheme="majorBidi"/>
        </w:rPr>
        <w:t>. Data are expressed as odds ratio (OR), 95% confidence interval (CI), p-value, Z-score</w:t>
      </w:r>
      <w:r w:rsidR="005D53ED" w:rsidRPr="00BB5ADD">
        <w:rPr>
          <w:rFonts w:asciiTheme="majorBidi" w:hAnsiTheme="majorBidi" w:cstheme="majorBidi"/>
        </w:rPr>
        <w:t>.</w:t>
      </w:r>
      <w:r w:rsidR="004F6613" w:rsidRPr="00BB5ADD">
        <w:rPr>
          <w:rFonts w:asciiTheme="majorBidi" w:hAnsiTheme="majorBidi" w:cstheme="majorBidi"/>
        </w:rPr>
        <w:t xml:space="preserve"> </w:t>
      </w:r>
    </w:p>
    <w:p w14:paraId="7C52F4F5" w14:textId="6B8C3C56" w:rsidR="004F6613" w:rsidRPr="00BB5ADD" w:rsidRDefault="009D4DC7" w:rsidP="00337378">
      <w:pPr>
        <w:pStyle w:val="NormalWeb"/>
        <w:shd w:val="clear" w:color="auto" w:fill="FFFFFF"/>
        <w:spacing w:before="0" w:beforeAutospacing="0" w:after="160" w:afterAutospacing="0" w:line="360" w:lineRule="auto"/>
        <w:rPr>
          <w:rFonts w:asciiTheme="majorBidi" w:hAnsiTheme="majorBidi" w:cstheme="majorBidi"/>
        </w:rPr>
      </w:pPr>
      <w:r w:rsidRPr="00BB5ADD">
        <w:rPr>
          <w:rFonts w:asciiTheme="majorBidi" w:hAnsiTheme="majorBidi" w:cstheme="majorBidi"/>
        </w:rPr>
        <w:t>All CNS categories reviewed produced a safety signal when comparing events after COVID-19 vaccination to influenza vaccination</w:t>
      </w:r>
      <w:r w:rsidR="00335EDE">
        <w:rPr>
          <w:rFonts w:asciiTheme="majorBidi" w:hAnsiTheme="majorBidi" w:cstheme="majorBidi"/>
        </w:rPr>
        <w:t xml:space="preserve"> (referent)</w:t>
      </w:r>
      <w:r w:rsidR="00420071" w:rsidRPr="00BB5ADD">
        <w:rPr>
          <w:rFonts w:asciiTheme="majorBidi" w:hAnsiTheme="majorBidi" w:cstheme="majorBidi"/>
        </w:rPr>
        <w:t xml:space="preserve">. </w:t>
      </w:r>
      <w:r w:rsidR="005C29EF" w:rsidRPr="00BB5ADD">
        <w:rPr>
          <w:rFonts w:asciiTheme="majorBidi" w:hAnsiTheme="majorBidi" w:cstheme="majorBidi"/>
        </w:rPr>
        <w:t>Thirty-nine</w:t>
      </w:r>
      <w:r w:rsidR="003E35ED" w:rsidRPr="00BB5ADD">
        <w:rPr>
          <w:rFonts w:asciiTheme="majorBidi" w:hAnsiTheme="majorBidi" w:cstheme="majorBidi"/>
        </w:rPr>
        <w:t xml:space="preserve"> </w:t>
      </w:r>
      <w:r w:rsidRPr="00BB5ADD">
        <w:rPr>
          <w:rFonts w:asciiTheme="majorBidi" w:hAnsiTheme="majorBidi" w:cstheme="majorBidi"/>
        </w:rPr>
        <w:t xml:space="preserve">events </w:t>
      </w:r>
      <w:r w:rsidR="002A531B">
        <w:rPr>
          <w:rFonts w:asciiTheme="majorBidi" w:hAnsiTheme="majorBidi" w:cstheme="majorBidi"/>
        </w:rPr>
        <w:t>were</w:t>
      </w:r>
      <w:r w:rsidR="00053411" w:rsidRPr="00BB5ADD">
        <w:rPr>
          <w:rFonts w:asciiTheme="majorBidi" w:hAnsiTheme="majorBidi" w:cstheme="majorBidi"/>
        </w:rPr>
        <w:t xml:space="preserve"> </w:t>
      </w:r>
      <w:r w:rsidRPr="00BB5ADD">
        <w:rPr>
          <w:rFonts w:asciiTheme="majorBidi" w:hAnsiTheme="majorBidi" w:cstheme="majorBidi"/>
        </w:rPr>
        <w:t xml:space="preserve">categorized as CNS Infection </w:t>
      </w:r>
      <w:r w:rsidR="003B7456" w:rsidRPr="00BB5ADD">
        <w:rPr>
          <w:rFonts w:asciiTheme="majorBidi" w:hAnsiTheme="majorBidi" w:cstheme="majorBidi"/>
        </w:rPr>
        <w:t>(</w:t>
      </w:r>
      <w:r w:rsidR="00C13017" w:rsidRPr="00BB5ADD">
        <w:rPr>
          <w:rFonts w:asciiTheme="majorBidi" w:hAnsiTheme="majorBidi" w:cstheme="majorBidi"/>
        </w:rPr>
        <w:t>29.</w:t>
      </w:r>
      <w:r w:rsidR="005C29EF" w:rsidRPr="00BB5ADD">
        <w:rPr>
          <w:rFonts w:asciiTheme="majorBidi" w:hAnsiTheme="majorBidi" w:cstheme="majorBidi"/>
        </w:rPr>
        <w:t>4</w:t>
      </w:r>
      <w:r w:rsidRPr="00BB5ADD">
        <w:rPr>
          <w:rFonts w:asciiTheme="majorBidi" w:hAnsiTheme="majorBidi" w:cstheme="majorBidi"/>
        </w:rPr>
        <w:t xml:space="preserve">, </w:t>
      </w:r>
      <w:r w:rsidR="00E34191" w:rsidRPr="00BB5ADD">
        <w:rPr>
          <w:rFonts w:asciiTheme="majorBidi" w:hAnsiTheme="majorBidi" w:cstheme="majorBidi"/>
        </w:rPr>
        <w:t>2</w:t>
      </w:r>
      <w:r w:rsidR="008F1BE0" w:rsidRPr="00BB5ADD">
        <w:rPr>
          <w:rFonts w:asciiTheme="majorBidi" w:hAnsiTheme="majorBidi" w:cstheme="majorBidi"/>
        </w:rPr>
        <w:t xml:space="preserve">1.6-40.1, </w:t>
      </w:r>
      <w:r w:rsidRPr="00BB5ADD">
        <w:rPr>
          <w:rFonts w:asciiTheme="majorBidi" w:hAnsiTheme="majorBidi" w:cstheme="majorBidi"/>
        </w:rPr>
        <w:t xml:space="preserve">&lt;000.1, </w:t>
      </w:r>
      <w:r w:rsidR="00C13017" w:rsidRPr="00BB5ADD">
        <w:rPr>
          <w:rFonts w:asciiTheme="majorBidi" w:hAnsiTheme="majorBidi" w:cstheme="majorBidi"/>
        </w:rPr>
        <w:t>21.4</w:t>
      </w:r>
      <w:r w:rsidRPr="00BB5ADD">
        <w:rPr>
          <w:rFonts w:asciiTheme="majorBidi" w:hAnsiTheme="majorBidi" w:cstheme="majorBidi"/>
        </w:rPr>
        <w:t xml:space="preserve">); 11 events </w:t>
      </w:r>
      <w:r w:rsidR="00C13017" w:rsidRPr="00BB5ADD">
        <w:rPr>
          <w:rFonts w:asciiTheme="majorBidi" w:hAnsiTheme="majorBidi" w:cstheme="majorBidi"/>
        </w:rPr>
        <w:t xml:space="preserve">grouped as </w:t>
      </w:r>
      <w:r w:rsidR="002A531B">
        <w:rPr>
          <w:rFonts w:asciiTheme="majorBidi" w:hAnsiTheme="majorBidi" w:cstheme="majorBidi"/>
        </w:rPr>
        <w:t>h</w:t>
      </w:r>
      <w:r w:rsidR="00680944" w:rsidRPr="00BB5ADD">
        <w:rPr>
          <w:rFonts w:asciiTheme="majorBidi" w:hAnsiTheme="majorBidi" w:cstheme="majorBidi"/>
        </w:rPr>
        <w:t xml:space="preserve">erpetic </w:t>
      </w:r>
      <w:r w:rsidR="00C13017" w:rsidRPr="00BB5ADD">
        <w:rPr>
          <w:rFonts w:asciiTheme="majorBidi" w:hAnsiTheme="majorBidi" w:cstheme="majorBidi"/>
        </w:rPr>
        <w:t>CNS</w:t>
      </w:r>
      <w:r w:rsidR="005E6494" w:rsidRPr="00BB5ADD">
        <w:rPr>
          <w:rFonts w:asciiTheme="majorBidi" w:hAnsiTheme="majorBidi" w:cstheme="majorBidi"/>
        </w:rPr>
        <w:t xml:space="preserve"> </w:t>
      </w:r>
      <w:r w:rsidR="00C13017" w:rsidRPr="00BB5ADD">
        <w:rPr>
          <w:rFonts w:asciiTheme="majorBidi" w:hAnsiTheme="majorBidi" w:cstheme="majorBidi"/>
        </w:rPr>
        <w:t>Infection (171, 93.9-312, &lt;000.1, 16.8)</w:t>
      </w:r>
      <w:r w:rsidR="001C2C58" w:rsidRPr="00BB5ADD">
        <w:rPr>
          <w:rFonts w:asciiTheme="majorBidi" w:hAnsiTheme="majorBidi" w:cstheme="majorBidi"/>
        </w:rPr>
        <w:t>;</w:t>
      </w:r>
      <w:r w:rsidR="00BA133A" w:rsidRPr="00BB5ADD">
        <w:rPr>
          <w:rFonts w:asciiTheme="majorBidi" w:hAnsiTheme="majorBidi" w:cstheme="majorBidi"/>
        </w:rPr>
        <w:t xml:space="preserve"> and</w:t>
      </w:r>
      <w:r w:rsidR="00C13017" w:rsidRPr="00BB5ADD">
        <w:rPr>
          <w:rFonts w:asciiTheme="majorBidi" w:hAnsiTheme="majorBidi" w:cstheme="majorBidi"/>
        </w:rPr>
        <w:t xml:space="preserve"> 4 </w:t>
      </w:r>
      <w:r w:rsidR="00A71970" w:rsidRPr="00BB5ADD">
        <w:rPr>
          <w:rFonts w:asciiTheme="majorBidi" w:hAnsiTheme="majorBidi" w:cstheme="majorBidi"/>
        </w:rPr>
        <w:t>categorized</w:t>
      </w:r>
      <w:r w:rsidR="00C13017" w:rsidRPr="00BB5ADD">
        <w:rPr>
          <w:rFonts w:asciiTheme="majorBidi" w:hAnsiTheme="majorBidi" w:cstheme="majorBidi"/>
        </w:rPr>
        <w:t xml:space="preserve"> as CNS Abscess </w:t>
      </w:r>
      <w:r w:rsidR="00F34344" w:rsidRPr="00BB5ADD">
        <w:rPr>
          <w:rFonts w:asciiTheme="majorBidi" w:hAnsiTheme="majorBidi" w:cstheme="majorBidi"/>
        </w:rPr>
        <w:t>(107, 40.9-280,</w:t>
      </w:r>
      <w:r w:rsidR="00CB30FF" w:rsidRPr="00BB5ADD">
        <w:rPr>
          <w:rFonts w:asciiTheme="majorBidi" w:hAnsiTheme="majorBidi" w:cstheme="majorBidi"/>
        </w:rPr>
        <w:t xml:space="preserve"> </w:t>
      </w:r>
      <w:r w:rsidR="00F34344" w:rsidRPr="00BB5ADD">
        <w:rPr>
          <w:rFonts w:asciiTheme="majorBidi" w:hAnsiTheme="majorBidi" w:cstheme="majorBidi"/>
        </w:rPr>
        <w:t>&lt;000.1, 9.53)</w:t>
      </w:r>
      <w:r w:rsidR="003D2898" w:rsidRPr="00BB5ADD">
        <w:rPr>
          <w:rFonts w:asciiTheme="majorBidi" w:hAnsiTheme="majorBidi" w:cstheme="majorBidi"/>
        </w:rPr>
        <w:t>.</w:t>
      </w:r>
      <w:r w:rsidR="00F34344" w:rsidRPr="00BB5ADD">
        <w:rPr>
          <w:rFonts w:asciiTheme="majorBidi" w:hAnsiTheme="majorBidi" w:cstheme="majorBidi"/>
        </w:rPr>
        <w:t xml:space="preserve"> </w:t>
      </w:r>
    </w:p>
    <w:p w14:paraId="51CF26F0" w14:textId="02CC9796" w:rsidR="003D2898" w:rsidRPr="00BB5ADD" w:rsidRDefault="005E6494" w:rsidP="00B0637D">
      <w:pPr>
        <w:pStyle w:val="NormalWeb"/>
        <w:shd w:val="clear" w:color="auto" w:fill="FFFFFF"/>
        <w:spacing w:before="0" w:beforeAutospacing="0" w:after="160" w:afterAutospacing="0" w:line="360" w:lineRule="auto"/>
        <w:rPr>
          <w:rFonts w:asciiTheme="majorBidi" w:hAnsiTheme="majorBidi" w:cstheme="majorBidi"/>
        </w:rPr>
      </w:pPr>
      <w:r w:rsidRPr="00BB5ADD">
        <w:rPr>
          <w:rFonts w:asciiTheme="majorBidi" w:hAnsiTheme="majorBidi" w:cstheme="majorBidi"/>
        </w:rPr>
        <w:t xml:space="preserve">Similarly, CNS Infections, </w:t>
      </w:r>
      <w:r w:rsidR="00C2757C">
        <w:rPr>
          <w:rFonts w:asciiTheme="majorBidi" w:hAnsiTheme="majorBidi" w:cstheme="majorBidi"/>
        </w:rPr>
        <w:t>h</w:t>
      </w:r>
      <w:r w:rsidRPr="00BB5ADD">
        <w:rPr>
          <w:rFonts w:asciiTheme="majorBidi" w:hAnsiTheme="majorBidi" w:cstheme="majorBidi"/>
        </w:rPr>
        <w:t xml:space="preserve">erpetic CNS Infection, </w:t>
      </w:r>
      <w:r w:rsidR="003D2898" w:rsidRPr="00BB5ADD">
        <w:rPr>
          <w:rFonts w:asciiTheme="majorBidi" w:hAnsiTheme="majorBidi" w:cstheme="majorBidi"/>
        </w:rPr>
        <w:t xml:space="preserve">and </w:t>
      </w:r>
      <w:r w:rsidRPr="00BB5ADD">
        <w:rPr>
          <w:rFonts w:asciiTheme="majorBidi" w:hAnsiTheme="majorBidi" w:cstheme="majorBidi"/>
        </w:rPr>
        <w:t xml:space="preserve">CNS </w:t>
      </w:r>
      <w:r w:rsidR="00C2757C">
        <w:rPr>
          <w:rFonts w:asciiTheme="majorBidi" w:hAnsiTheme="majorBidi" w:cstheme="majorBidi"/>
        </w:rPr>
        <w:t>a</w:t>
      </w:r>
      <w:r w:rsidRPr="00BB5ADD">
        <w:rPr>
          <w:rFonts w:asciiTheme="majorBidi" w:hAnsiTheme="majorBidi" w:cstheme="majorBidi"/>
        </w:rPr>
        <w:t>bscess categories also produced a safety signal when comparing events after COVID-19 vaccination to all vaccines combined</w:t>
      </w:r>
      <w:r w:rsidR="00C2757C">
        <w:rPr>
          <w:rFonts w:asciiTheme="majorBidi" w:hAnsiTheme="majorBidi" w:cstheme="majorBidi"/>
        </w:rPr>
        <w:t xml:space="preserve"> (referent)</w:t>
      </w:r>
      <w:r w:rsidRPr="00BB5ADD">
        <w:rPr>
          <w:rFonts w:asciiTheme="majorBidi" w:hAnsiTheme="majorBidi" w:cstheme="majorBidi"/>
        </w:rPr>
        <w:t xml:space="preserve"> (except COVID-19):  </w:t>
      </w:r>
      <w:r w:rsidR="00713AE1" w:rsidRPr="00BB5ADD">
        <w:rPr>
          <w:rFonts w:asciiTheme="majorBidi" w:hAnsiTheme="majorBidi" w:cstheme="majorBidi"/>
        </w:rPr>
        <w:t>39</w:t>
      </w:r>
      <w:r w:rsidR="00B0637D" w:rsidRPr="00BB5ADD">
        <w:rPr>
          <w:rFonts w:asciiTheme="majorBidi" w:hAnsiTheme="majorBidi" w:cstheme="majorBidi"/>
        </w:rPr>
        <w:t xml:space="preserve"> events categorized as CNS Infections (4.11, 3.03-5.5</w:t>
      </w:r>
      <w:r w:rsidR="003531CD" w:rsidRPr="00BB5ADD">
        <w:rPr>
          <w:rFonts w:asciiTheme="majorBidi" w:hAnsiTheme="majorBidi" w:cstheme="majorBidi"/>
        </w:rPr>
        <w:t>7</w:t>
      </w:r>
      <w:r w:rsidR="00B0637D" w:rsidRPr="00BB5ADD">
        <w:rPr>
          <w:rFonts w:asciiTheme="majorBidi" w:hAnsiTheme="majorBidi" w:cstheme="majorBidi"/>
        </w:rPr>
        <w:t>, &lt;000.1, 9.0</w:t>
      </w:r>
      <w:r w:rsidR="00045476" w:rsidRPr="00BB5ADD">
        <w:rPr>
          <w:rFonts w:asciiTheme="majorBidi" w:hAnsiTheme="majorBidi" w:cstheme="majorBidi"/>
        </w:rPr>
        <w:t>9</w:t>
      </w:r>
      <w:r w:rsidR="00B0637D" w:rsidRPr="00BB5ADD">
        <w:rPr>
          <w:rFonts w:asciiTheme="majorBidi" w:hAnsiTheme="majorBidi" w:cstheme="majorBidi"/>
        </w:rPr>
        <w:t xml:space="preserve">); 11 events grouped as </w:t>
      </w:r>
      <w:r w:rsidR="00C2757C">
        <w:rPr>
          <w:rFonts w:asciiTheme="majorBidi" w:hAnsiTheme="majorBidi" w:cstheme="majorBidi"/>
        </w:rPr>
        <w:t>h</w:t>
      </w:r>
      <w:r w:rsidR="00B0637D" w:rsidRPr="00BB5ADD">
        <w:rPr>
          <w:rFonts w:asciiTheme="majorBidi" w:hAnsiTheme="majorBidi" w:cstheme="majorBidi"/>
        </w:rPr>
        <w:t>erpetic CNS Infection (22.3, 15.4-32.4, &lt;000.1, 16.4)</w:t>
      </w:r>
      <w:r w:rsidR="002235B6" w:rsidRPr="00BB5ADD">
        <w:rPr>
          <w:rFonts w:asciiTheme="majorBidi" w:hAnsiTheme="majorBidi" w:cstheme="majorBidi"/>
        </w:rPr>
        <w:t xml:space="preserve"> and</w:t>
      </w:r>
      <w:r w:rsidR="00B0637D" w:rsidRPr="00BB5ADD">
        <w:rPr>
          <w:rFonts w:asciiTheme="majorBidi" w:hAnsiTheme="majorBidi" w:cstheme="majorBidi"/>
        </w:rPr>
        <w:t xml:space="preserve">; 4 events noted as CNS </w:t>
      </w:r>
      <w:r w:rsidR="00C2757C">
        <w:rPr>
          <w:rFonts w:asciiTheme="majorBidi" w:hAnsiTheme="majorBidi" w:cstheme="majorBidi"/>
        </w:rPr>
        <w:t>a</w:t>
      </w:r>
      <w:r w:rsidR="00B0637D" w:rsidRPr="00BB5ADD">
        <w:rPr>
          <w:rFonts w:asciiTheme="majorBidi" w:hAnsiTheme="majorBidi" w:cstheme="majorBidi"/>
        </w:rPr>
        <w:t>bscess (17.8, 10.5-30.4,</w:t>
      </w:r>
      <w:r w:rsidR="00E649B4" w:rsidRPr="00BB5ADD">
        <w:rPr>
          <w:rFonts w:asciiTheme="majorBidi" w:hAnsiTheme="majorBidi" w:cstheme="majorBidi"/>
        </w:rPr>
        <w:t xml:space="preserve"> </w:t>
      </w:r>
      <w:r w:rsidR="00B0637D" w:rsidRPr="00BB5ADD">
        <w:rPr>
          <w:rFonts w:asciiTheme="majorBidi" w:hAnsiTheme="majorBidi" w:cstheme="majorBidi"/>
        </w:rPr>
        <w:t>&lt;000.1, 10.6)</w:t>
      </w:r>
      <w:r w:rsidR="003D2898" w:rsidRPr="00BB5ADD">
        <w:rPr>
          <w:rFonts w:asciiTheme="majorBidi" w:hAnsiTheme="majorBidi" w:cstheme="majorBidi"/>
        </w:rPr>
        <w:t>.</w:t>
      </w:r>
    </w:p>
    <w:p w14:paraId="0385EB54" w14:textId="572CA0E1" w:rsidR="005E6494" w:rsidRPr="00BB5ADD" w:rsidRDefault="003D2898" w:rsidP="00337378">
      <w:pPr>
        <w:pStyle w:val="NormalWeb"/>
        <w:shd w:val="clear" w:color="auto" w:fill="FFFFFF"/>
        <w:spacing w:before="0" w:beforeAutospacing="0" w:after="160" w:afterAutospacing="0" w:line="360" w:lineRule="auto"/>
        <w:rPr>
          <w:rFonts w:asciiTheme="majorBidi" w:hAnsiTheme="majorBidi" w:cstheme="majorBidi"/>
        </w:rPr>
      </w:pPr>
      <w:r w:rsidRPr="00BB5ADD">
        <w:rPr>
          <w:rFonts w:asciiTheme="majorBidi" w:hAnsiTheme="majorBidi" w:cstheme="majorBidi"/>
        </w:rPr>
        <w:lastRenderedPageBreak/>
        <w:t xml:space="preserve">When comparing COVID-19 vaccination to influenza vaccination as well as all vaccines combined, </w:t>
      </w:r>
      <w:r w:rsidR="007C65E8" w:rsidRPr="00BB5ADD">
        <w:rPr>
          <w:rFonts w:asciiTheme="majorBidi" w:hAnsiTheme="majorBidi" w:cstheme="majorBidi"/>
        </w:rPr>
        <w:t>7</w:t>
      </w:r>
      <w:r w:rsidRPr="00BB5ADD">
        <w:rPr>
          <w:rFonts w:asciiTheme="majorBidi" w:hAnsiTheme="majorBidi" w:cstheme="majorBidi"/>
        </w:rPr>
        <w:t xml:space="preserve"> of 9 events in the </w:t>
      </w:r>
      <w:r w:rsidR="006F0D93">
        <w:rPr>
          <w:rFonts w:asciiTheme="majorBidi" w:hAnsiTheme="majorBidi" w:cstheme="majorBidi"/>
        </w:rPr>
        <w:t>u</w:t>
      </w:r>
      <w:r w:rsidRPr="00BB5ADD">
        <w:rPr>
          <w:rFonts w:asciiTheme="majorBidi" w:hAnsiTheme="majorBidi" w:cstheme="majorBidi"/>
        </w:rPr>
        <w:t xml:space="preserve">ncommon neurological disease grouping exceeded safety thresholds for both comparisons.  </w:t>
      </w:r>
    </w:p>
    <w:p w14:paraId="6F2B4121" w14:textId="47FEC690" w:rsidR="00C37AAF" w:rsidRPr="001A3690" w:rsidRDefault="003607A5" w:rsidP="001019ED">
      <w:pPr>
        <w:pStyle w:val="NormalWeb"/>
        <w:shd w:val="clear" w:color="auto" w:fill="FFFFFF"/>
        <w:spacing w:after="160" w:line="360" w:lineRule="auto"/>
      </w:pPr>
      <w:r w:rsidRPr="001A3690">
        <w:rPr>
          <w:b/>
          <w:bCs/>
        </w:rPr>
        <w:t>Conclusions</w:t>
      </w:r>
      <w:r w:rsidRPr="001A3690">
        <w:t xml:space="preserve">: </w:t>
      </w:r>
      <w:r w:rsidR="00380AA8" w:rsidRPr="001A3690">
        <w:t xml:space="preserve"> All </w:t>
      </w:r>
      <w:r w:rsidR="006F0D93">
        <w:t xml:space="preserve">safety signals reported are concerning </w:t>
      </w:r>
      <w:r w:rsidR="009D7F95">
        <w:t>and support</w:t>
      </w:r>
      <w:r w:rsidR="00380AA8" w:rsidRPr="001A3690">
        <w:t xml:space="preserve"> an immediate global ban on the COVID-19 vaccination program.</w:t>
      </w:r>
    </w:p>
    <w:p w14:paraId="0E5965DB" w14:textId="045E7258" w:rsidR="006270CB" w:rsidRPr="00BB5ADD" w:rsidRDefault="006270CB" w:rsidP="00CF3785">
      <w:pPr>
        <w:spacing w:line="360" w:lineRule="auto"/>
        <w:jc w:val="center"/>
        <w:rPr>
          <w:b/>
          <w:bCs/>
        </w:rPr>
      </w:pPr>
      <w:r w:rsidRPr="00BB5ADD">
        <w:rPr>
          <w:b/>
          <w:bCs/>
        </w:rPr>
        <w:t>Introduction</w:t>
      </w:r>
    </w:p>
    <w:p w14:paraId="55A5B35E" w14:textId="77777777" w:rsidR="00EB6C1B" w:rsidRPr="00BB5ADD" w:rsidRDefault="00EB6C1B" w:rsidP="00CF3785">
      <w:pPr>
        <w:spacing w:line="360" w:lineRule="auto"/>
        <w:jc w:val="center"/>
        <w:rPr>
          <w:b/>
          <w:bCs/>
        </w:rPr>
      </w:pPr>
    </w:p>
    <w:p w14:paraId="6EAFB091" w14:textId="6420FB49" w:rsidR="001B648C" w:rsidRPr="00BB5ADD" w:rsidRDefault="009E13CF" w:rsidP="00337378">
      <w:pPr>
        <w:spacing w:line="360" w:lineRule="auto"/>
      </w:pPr>
      <w:r w:rsidRPr="00BB5ADD">
        <w:t>The rushed global rollout of the COVID-19 mRNA vaccines in</w:t>
      </w:r>
      <w:r w:rsidR="00A9694E" w:rsidRPr="00BB5ADD">
        <w:t xml:space="preserve"> </w:t>
      </w:r>
      <w:r w:rsidR="00D46EDE" w:rsidRPr="00BB5ADD">
        <w:t>December 2020</w:t>
      </w:r>
      <w:r w:rsidRPr="00BB5ADD">
        <w:t xml:space="preserve"> was unprecedented. It was based on novel technology with inclusion of pseudo-uridylated mRNA sequences carried throughout the body within a lipid nanoparticle carrier system.</w:t>
      </w:r>
      <w:r w:rsidR="007460C4">
        <w:t xml:space="preserve">  Despite mRNA being studied for decades, there were no preclinical </w:t>
      </w:r>
      <w:r w:rsidR="009C6455">
        <w:t xml:space="preserve">reports of pharmacokinetics, pharmacodynamics, teratogenicity, oncogenicity, or genotoxicity. </w:t>
      </w:r>
      <w:r w:rsidRPr="00BB5ADD">
        <w:t xml:space="preserve"> </w:t>
      </w:r>
      <w:r w:rsidR="009C6455">
        <w:t>It is now know</w:t>
      </w:r>
      <w:r w:rsidR="007A694D">
        <w:t>n</w:t>
      </w:r>
      <w:r w:rsidR="009C6455">
        <w:t xml:space="preserve"> that synthetic</w:t>
      </w:r>
      <w:r w:rsidRPr="00BB5ADD">
        <w:t xml:space="preserve"> mRNA cod</w:t>
      </w:r>
      <w:r w:rsidR="0015731C">
        <w:t>ing</w:t>
      </w:r>
      <w:r w:rsidRPr="00BB5ADD">
        <w:t xml:space="preserve"> for the spike protein</w:t>
      </w:r>
      <w:r w:rsidR="0015731C">
        <w:t xml:space="preserve"> without the ability to shut down protein synthesis leads to accumulation of spike protein causing </w:t>
      </w:r>
      <w:r w:rsidR="004B359A">
        <w:t>nonfatal and fatal spike protein syndromes.  Th</w:t>
      </w:r>
      <w:r w:rsidR="007A694D">
        <w:t>e</w:t>
      </w:r>
      <w:r w:rsidR="004B359A">
        <w:t xml:space="preserve"> bio-</w:t>
      </w:r>
      <w:r w:rsidR="007A694D">
        <w:t>p</w:t>
      </w:r>
      <w:r w:rsidR="00A44B35" w:rsidRPr="00BB5ADD">
        <w:t>harmaceutical</w:t>
      </w:r>
      <w:r w:rsidR="00DE4A55" w:rsidRPr="00BB5ADD">
        <w:t xml:space="preserve"> develop</w:t>
      </w:r>
      <w:r w:rsidR="004B359A">
        <w:t>ment programs for mRNA</w:t>
      </w:r>
      <w:r w:rsidR="00DE4A55" w:rsidRPr="00BB5ADD">
        <w:t xml:space="preserve"> failed to </w:t>
      </w:r>
      <w:r w:rsidR="00B10EA2" w:rsidRPr="00BB5ADD">
        <w:t>recognize</w:t>
      </w:r>
      <w:r w:rsidR="00DE4A55" w:rsidRPr="00BB5ADD">
        <w:t xml:space="preserve"> that the viral spike protein encoded by the “vaccine” was</w:t>
      </w:r>
      <w:r w:rsidR="007023F7">
        <w:t>,</w:t>
      </w:r>
      <w:r w:rsidR="00DE4A55" w:rsidRPr="00BB5ADD">
        <w:t xml:space="preserve"> by itself, a highly toxic molecule that could quickly cross the blood-brain barrier and linger </w:t>
      </w:r>
      <w:r w:rsidR="00EE238E" w:rsidRPr="00BB5ADD">
        <w:t xml:space="preserve">indefinitely. </w:t>
      </w:r>
    </w:p>
    <w:p w14:paraId="0C37CD44" w14:textId="77777777" w:rsidR="00F50ED2" w:rsidRPr="00BB5ADD" w:rsidRDefault="00F50ED2" w:rsidP="00337378">
      <w:pPr>
        <w:spacing w:line="360" w:lineRule="auto"/>
      </w:pPr>
    </w:p>
    <w:p w14:paraId="238CBE0E" w14:textId="50849E58" w:rsidR="002F1F40" w:rsidRPr="00BB5ADD" w:rsidRDefault="0086249D" w:rsidP="00337378">
      <w:pPr>
        <w:spacing w:line="360" w:lineRule="auto"/>
      </w:pPr>
      <w:r w:rsidRPr="00BB5ADD">
        <w:t xml:space="preserve">Central </w:t>
      </w:r>
      <w:r w:rsidR="00FC1C1D" w:rsidRPr="00BB5ADD">
        <w:t>n</w:t>
      </w:r>
      <w:r w:rsidRPr="00BB5ADD">
        <w:t xml:space="preserve">ervous </w:t>
      </w:r>
      <w:r w:rsidR="00FC1C1D" w:rsidRPr="00BB5ADD">
        <w:t>s</w:t>
      </w:r>
      <w:r w:rsidRPr="00BB5ADD">
        <w:t xml:space="preserve">ystem (CNS) infections </w:t>
      </w:r>
      <w:r w:rsidR="002F1F40" w:rsidRPr="00BB5ADD">
        <w:t>involve</w:t>
      </w:r>
      <w:r w:rsidRPr="00BB5ADD">
        <w:t xml:space="preserve"> focal or widespread conditions of infectious and/or inflammatory </w:t>
      </w:r>
      <w:r w:rsidR="00C16007" w:rsidRPr="00BB5ADD">
        <w:t>conditions of</w:t>
      </w:r>
      <w:r w:rsidRPr="00BB5ADD">
        <w:t xml:space="preserve"> the brain</w:t>
      </w:r>
      <w:r w:rsidR="00F84B6B" w:rsidRPr="00BB5ADD">
        <w:t xml:space="preserve"> and/</w:t>
      </w:r>
      <w:r w:rsidRPr="00BB5ADD">
        <w:t xml:space="preserve">or spinal cord.  They often begin as a common sinusitis, otitis, or oral cavity infection </w:t>
      </w:r>
      <w:r w:rsidR="002F1F40" w:rsidRPr="00BB5ADD">
        <w:t>that</w:t>
      </w:r>
      <w:r w:rsidRPr="00BB5ADD">
        <w:t xml:space="preserve"> cross</w:t>
      </w:r>
      <w:r w:rsidR="002F1F40" w:rsidRPr="00BB5ADD">
        <w:t>es</w:t>
      </w:r>
      <w:r w:rsidRPr="00BB5ADD">
        <w:t xml:space="preserve"> the </w:t>
      </w:r>
      <w:r w:rsidR="00AE7488" w:rsidRPr="00BB5ADD">
        <w:t>b</w:t>
      </w:r>
      <w:r w:rsidRPr="00BB5ADD">
        <w:t>lood-</w:t>
      </w:r>
      <w:r w:rsidR="00AE7488" w:rsidRPr="00BB5ADD">
        <w:t>b</w:t>
      </w:r>
      <w:r w:rsidRPr="00BB5ADD">
        <w:t xml:space="preserve">rain </w:t>
      </w:r>
      <w:r w:rsidR="00AE7488" w:rsidRPr="00BB5ADD">
        <w:t>b</w:t>
      </w:r>
      <w:r w:rsidRPr="00BB5ADD">
        <w:t>arrier (BBB)</w:t>
      </w:r>
      <w:r w:rsidR="002F1F40" w:rsidRPr="00BB5ADD">
        <w:t>,</w:t>
      </w:r>
      <w:r w:rsidRPr="00BB5ADD">
        <w:t xml:space="preserve"> </w:t>
      </w:r>
      <w:r w:rsidR="002F1F40" w:rsidRPr="00BB5ADD">
        <w:t>subsequently</w:t>
      </w:r>
      <w:r w:rsidRPr="00BB5ADD">
        <w:t xml:space="preserve"> altering the course of an otherwise </w:t>
      </w:r>
      <w:r w:rsidR="002F1F40" w:rsidRPr="00BB5ADD">
        <w:t>self-limited</w:t>
      </w:r>
      <w:r w:rsidRPr="00BB5ADD">
        <w:t xml:space="preserve"> infection.  </w:t>
      </w:r>
      <w:r w:rsidR="002F1F40" w:rsidRPr="00BB5ADD">
        <w:t xml:space="preserve">The homeostatic conditions maintained by the BBB are crucial to protect the CNS from vulnerabilities.  Although the pathogenesis of BBB dysfunction is not well understood, it is believed that </w:t>
      </w:r>
      <w:r w:rsidR="00397EDD" w:rsidRPr="00BB5ADD">
        <w:t>the spike protein itself</w:t>
      </w:r>
      <w:r w:rsidR="00EC7A3E" w:rsidRPr="00BB5ADD">
        <w:t xml:space="preserve"> is contributory</w:t>
      </w:r>
      <w:r w:rsidR="00092E2E">
        <w:t xml:space="preserve"> to this process</w:t>
      </w:r>
      <w:r w:rsidR="00EC7A3E" w:rsidRPr="00BB5ADD">
        <w:t xml:space="preserve">. Under otherwise normal circumstances </w:t>
      </w:r>
      <w:r w:rsidR="00DD6173" w:rsidRPr="00BB5ADD">
        <w:t xml:space="preserve">it is posited that </w:t>
      </w:r>
      <w:r w:rsidR="002F1F40" w:rsidRPr="00BB5ADD">
        <w:t xml:space="preserve">the </w:t>
      </w:r>
      <w:r w:rsidR="002546DB" w:rsidRPr="00BB5ADD">
        <w:t>inoculum</w:t>
      </w:r>
      <w:r w:rsidR="00327DB8" w:rsidRPr="00BB5ADD">
        <w:t xml:space="preserve"> </w:t>
      </w:r>
      <w:r w:rsidR="002F1F40" w:rsidRPr="00BB5ADD">
        <w:t>of bacter</w:t>
      </w:r>
      <w:r w:rsidR="00327DB8" w:rsidRPr="00BB5ADD">
        <w:t>ia in the blood</w:t>
      </w:r>
      <w:r w:rsidR="002F1F40" w:rsidRPr="00BB5ADD">
        <w:t xml:space="preserve"> must reach a certain threshold for the BBB to be breached or that pathogens spread from a contiguous source such as the sinuses or inner ear.  BBB disruption</w:t>
      </w:r>
      <w:r w:rsidR="005F6893">
        <w:t xml:space="preserve"> by spike protein and its related local vascular inflammation</w:t>
      </w:r>
      <w:r w:rsidR="002F1F40" w:rsidRPr="00BB5ADD">
        <w:t xml:space="preserve"> creates a susceptibility for patients to develop meningitis, encephalitis, and pericranial abscess formation.</w:t>
      </w:r>
      <w:r w:rsidR="00056F06" w:rsidRPr="00BB5ADD">
        <w:rPr>
          <w:vertAlign w:val="superscript"/>
        </w:rPr>
        <w:t>1</w:t>
      </w:r>
      <w:r w:rsidR="007113DE" w:rsidRPr="00BB5ADD">
        <w:t xml:space="preserve">  </w:t>
      </w:r>
    </w:p>
    <w:p w14:paraId="3A7F9736" w14:textId="77777777" w:rsidR="002F1F40" w:rsidRPr="00BB5ADD" w:rsidRDefault="002F1F40" w:rsidP="00337378">
      <w:pPr>
        <w:spacing w:line="360" w:lineRule="auto"/>
      </w:pPr>
    </w:p>
    <w:p w14:paraId="6775CC5D" w14:textId="41D886A1" w:rsidR="006270CB" w:rsidRPr="00BB5ADD" w:rsidRDefault="00FF41A3" w:rsidP="00337378">
      <w:pPr>
        <w:spacing w:line="360" w:lineRule="auto"/>
      </w:pPr>
      <w:r w:rsidRPr="00BB5ADD">
        <w:lastRenderedPageBreak/>
        <w:t>Historically, severe inflammatory pathologies involving the CNS are considered rare</w:t>
      </w:r>
      <w:r w:rsidR="00206B8E" w:rsidRPr="00BB5ADD">
        <w:t xml:space="preserve"> events that are</w:t>
      </w:r>
      <w:r w:rsidR="00106EDA" w:rsidRPr="00BB5ADD">
        <w:t xml:space="preserve"> most often associated with tissue infections involving a small understood </w:t>
      </w:r>
      <w:r w:rsidR="00206B8E" w:rsidRPr="00BB5ADD">
        <w:t>group of</w:t>
      </w:r>
      <w:r w:rsidR="00106EDA" w:rsidRPr="00BB5ADD">
        <w:t xml:space="preserve"> viruses, bacteria, fungi</w:t>
      </w:r>
      <w:r w:rsidR="00206B8E" w:rsidRPr="00BB5ADD">
        <w:t xml:space="preserve"> and</w:t>
      </w:r>
      <w:r w:rsidR="00106EDA" w:rsidRPr="00BB5ADD">
        <w:t xml:space="preserve"> parasites</w:t>
      </w:r>
      <w:r w:rsidR="00206B8E" w:rsidRPr="00BB5ADD">
        <w:t xml:space="preserve">. Less </w:t>
      </w:r>
      <w:r w:rsidR="00FC1C1D" w:rsidRPr="00BB5ADD">
        <w:t xml:space="preserve">elucidated </w:t>
      </w:r>
      <w:r w:rsidR="00206B8E" w:rsidRPr="00BB5ADD">
        <w:t>are the group of CNS inflammatory conditions based on an autoimmune</w:t>
      </w:r>
      <w:r w:rsidRPr="00BB5ADD">
        <w:t xml:space="preserve"> </w:t>
      </w:r>
      <w:r w:rsidR="002F1F40" w:rsidRPr="00BB5ADD">
        <w:t xml:space="preserve">etiology.  </w:t>
      </w:r>
      <w:r w:rsidR="00F84B6B" w:rsidRPr="00BB5ADD">
        <w:t>Never-the-less</w:t>
      </w:r>
      <w:r w:rsidR="00206B8E" w:rsidRPr="00BB5ADD">
        <w:t>, since 2021, there has been an explosive increase</w:t>
      </w:r>
      <w:r w:rsidR="002F1F40" w:rsidRPr="00BB5ADD">
        <w:t xml:space="preserve"> in </w:t>
      </w:r>
      <w:r w:rsidR="00206B8E" w:rsidRPr="00BB5ADD">
        <w:t xml:space="preserve">the number of </w:t>
      </w:r>
      <w:r w:rsidR="001B245A">
        <w:t>sporadic</w:t>
      </w:r>
      <w:r w:rsidR="002F1F40" w:rsidRPr="00BB5ADD">
        <w:t xml:space="preserve"> cases</w:t>
      </w:r>
      <w:r w:rsidR="00B06F0B" w:rsidRPr="00BB5ADD">
        <w:t>.</w:t>
      </w:r>
      <w:r w:rsidR="006A1E2E" w:rsidRPr="00BB5ADD">
        <w:rPr>
          <w:vertAlign w:val="superscript"/>
        </w:rPr>
        <w:t>2,3</w:t>
      </w:r>
      <w:r w:rsidR="002F1F40" w:rsidRPr="00BB5ADD">
        <w:t xml:space="preserve">  </w:t>
      </w:r>
      <w:r w:rsidR="00206B8E" w:rsidRPr="00BB5ADD">
        <w:t xml:space="preserve">This has been accompanied </w:t>
      </w:r>
      <w:r w:rsidR="001B648C" w:rsidRPr="00BB5ADD">
        <w:t xml:space="preserve">by </w:t>
      </w:r>
      <w:r w:rsidR="00F84B6B" w:rsidRPr="00BB5ADD">
        <w:t>an</w:t>
      </w:r>
      <w:r w:rsidR="00206B8E" w:rsidRPr="00BB5ADD">
        <w:t xml:space="preserve"> increased incidence of even more rare CNS disorders such as </w:t>
      </w:r>
      <w:r w:rsidR="002F1F40" w:rsidRPr="00BB5ADD">
        <w:t>Creutzfeldt-</w:t>
      </w:r>
      <w:r w:rsidR="004D64AD" w:rsidRPr="00BB5ADD">
        <w:t>J</w:t>
      </w:r>
      <w:r w:rsidR="002F1F40" w:rsidRPr="00BB5ADD">
        <w:t xml:space="preserve">akob </w:t>
      </w:r>
      <w:r w:rsidR="00206B8E" w:rsidRPr="00BB5ADD">
        <w:t xml:space="preserve">disease </w:t>
      </w:r>
      <w:r w:rsidR="002F1F40" w:rsidRPr="00BB5ADD">
        <w:t>(CJD), progressive multifocal leukoencephalopathy (PML), and</w:t>
      </w:r>
      <w:r w:rsidR="00206B8E" w:rsidRPr="00BB5ADD">
        <w:t xml:space="preserve"> a</w:t>
      </w:r>
      <w:r w:rsidR="004D64AD" w:rsidRPr="00BB5ADD">
        <w:t xml:space="preserve">n assortment of </w:t>
      </w:r>
      <w:r w:rsidR="002F1F40" w:rsidRPr="00BB5ADD">
        <w:t>atypical demyelinating conditions</w:t>
      </w:r>
      <w:r w:rsidR="004D64AD" w:rsidRPr="00BB5ADD">
        <w:t xml:space="preserve"> </w:t>
      </w:r>
      <w:r w:rsidR="002F1F40" w:rsidRPr="00BB5ADD">
        <w:t xml:space="preserve">over </w:t>
      </w:r>
      <w:r w:rsidR="004D64AD" w:rsidRPr="00BB5ADD">
        <w:t>this same</w:t>
      </w:r>
      <w:r w:rsidR="002F1F40" w:rsidRPr="00BB5ADD">
        <w:t xml:space="preserve"> time frame</w:t>
      </w:r>
      <w:r w:rsidR="004D64AD" w:rsidRPr="00BB5ADD">
        <w:t xml:space="preserve"> as witnessed and recorded in</w:t>
      </w:r>
      <w:r w:rsidR="002F1F40" w:rsidRPr="00BB5ADD">
        <w:t xml:space="preserve"> </w:t>
      </w:r>
      <w:r w:rsidR="006276E5" w:rsidRPr="00BB5ADD">
        <w:t xml:space="preserve">the </w:t>
      </w:r>
      <w:r w:rsidR="004D64AD" w:rsidRPr="00BB5ADD">
        <w:t>Vaccine Adverse Event Reporting System (VAERS)</w:t>
      </w:r>
      <w:r w:rsidR="006276E5" w:rsidRPr="00BB5ADD">
        <w:t>.</w:t>
      </w:r>
      <w:r w:rsidR="006A1E2E" w:rsidRPr="00BB5ADD">
        <w:rPr>
          <w:vertAlign w:val="superscript"/>
        </w:rPr>
        <w:t>4</w:t>
      </w:r>
      <w:r w:rsidR="006276E5" w:rsidRPr="00BB5ADD">
        <w:t xml:space="preserve"> This database</w:t>
      </w:r>
      <w:r w:rsidR="005831EC" w:rsidRPr="00BB5ADD">
        <w:t xml:space="preserve"> is</w:t>
      </w:r>
      <w:r w:rsidR="006276E5" w:rsidRPr="00BB5ADD">
        <w:t xml:space="preserve"> </w:t>
      </w:r>
      <w:r w:rsidR="006276E5" w:rsidRPr="00BB5ADD">
        <w:rPr>
          <w:shd w:val="clear" w:color="auto" w:fill="FFFFFF"/>
        </w:rPr>
        <w:t>co-managed by the U.S. </w:t>
      </w:r>
      <w:hyperlink r:id="rId10" w:tooltip="Centers for Disease Control and Prevention" w:history="1">
        <w:r w:rsidR="006276E5" w:rsidRPr="00BB5ADD">
          <w:rPr>
            <w:shd w:val="clear" w:color="auto" w:fill="FFFFFF"/>
          </w:rPr>
          <w:t>Centers for Disease Control and Prevention</w:t>
        </w:r>
      </w:hyperlink>
      <w:r w:rsidR="006276E5" w:rsidRPr="00BB5ADD">
        <w:rPr>
          <w:shd w:val="clear" w:color="auto" w:fill="FFFFFF"/>
        </w:rPr>
        <w:t> (CDC) and the </w:t>
      </w:r>
      <w:hyperlink r:id="rId11" w:tooltip="Food and Drug Administration" w:history="1">
        <w:r w:rsidR="006276E5" w:rsidRPr="00BB5ADD">
          <w:rPr>
            <w:shd w:val="clear" w:color="auto" w:fill="FFFFFF"/>
          </w:rPr>
          <w:t>Food and Drug Administration</w:t>
        </w:r>
      </w:hyperlink>
      <w:r w:rsidR="006276E5" w:rsidRPr="00BB5ADD">
        <w:rPr>
          <w:shd w:val="clear" w:color="auto" w:fill="FFFFFF"/>
        </w:rPr>
        <w:t> (FDA).</w:t>
      </w:r>
      <w:r w:rsidR="00325DC3">
        <w:rPr>
          <w:shd w:val="clear" w:color="auto" w:fill="FFFFFF"/>
        </w:rPr>
        <w:t xml:space="preserve">  The VAERS database implies the vaccine has played a causal role in the development of the AE by proxy of reporting.  Meaning, the reporting physician or health care provider is asked to report a health event when he or she has clinically determined it may be related to the vaccine administered.  Otherwise, if deemed unrelated, would not be entered into the system.</w:t>
      </w:r>
      <w:r w:rsidR="002F1F40" w:rsidRPr="00BB5ADD">
        <w:t xml:space="preserve"> </w:t>
      </w:r>
      <w:r w:rsidR="00F84B6B" w:rsidRPr="00BB5ADD">
        <w:t>CNS pathology</w:t>
      </w:r>
      <w:r w:rsidR="00C335D5">
        <w:t xml:space="preserve"> infections</w:t>
      </w:r>
      <w:r w:rsidR="002F1F40" w:rsidRPr="00BB5ADD">
        <w:t xml:space="preserve"> can be severe and associated with significant</w:t>
      </w:r>
      <w:r w:rsidR="00C335D5">
        <w:t xml:space="preserve"> </w:t>
      </w:r>
      <w:r w:rsidR="002F1F40" w:rsidRPr="00BB5ADD">
        <w:t xml:space="preserve">morbidity and mortality with often devastating </w:t>
      </w:r>
      <w:r w:rsidR="0099771D" w:rsidRPr="00BB5ADD">
        <w:t>long-term</w:t>
      </w:r>
      <w:r w:rsidR="002F1F40" w:rsidRPr="00BB5ADD">
        <w:t xml:space="preserve"> consequences for the quality of life in those affected.</w:t>
      </w:r>
      <w:r w:rsidR="006A1E2E" w:rsidRPr="00BB5ADD">
        <w:rPr>
          <w:vertAlign w:val="superscript"/>
        </w:rPr>
        <w:t>5</w:t>
      </w:r>
      <w:r w:rsidR="002F1F40" w:rsidRPr="00BB5ADD">
        <w:t xml:space="preserve"> </w:t>
      </w:r>
    </w:p>
    <w:p w14:paraId="5D9EB896" w14:textId="77777777" w:rsidR="00BB6939" w:rsidRPr="00BB5ADD" w:rsidRDefault="00BB6939" w:rsidP="00337378">
      <w:pPr>
        <w:spacing w:line="360" w:lineRule="auto"/>
      </w:pPr>
    </w:p>
    <w:p w14:paraId="00B23254" w14:textId="722245F4" w:rsidR="009736C8" w:rsidRPr="00BB5ADD" w:rsidRDefault="00F47F5F" w:rsidP="00F47F5F">
      <w:pPr>
        <w:spacing w:line="360" w:lineRule="auto"/>
      </w:pPr>
      <w:r w:rsidRPr="00BB5ADD">
        <w:t xml:space="preserve">The purpose of this study is to examine the relationship between COVID-19 mRNA vaccines and CNS </w:t>
      </w:r>
      <w:r w:rsidR="004F7C14">
        <w:t>infections</w:t>
      </w:r>
      <w:r w:rsidRPr="00BB5ADD">
        <w:t>, as compared to other vaccines, based on existing data from VAERS.</w:t>
      </w:r>
    </w:p>
    <w:p w14:paraId="537A56A9" w14:textId="77777777" w:rsidR="00433B0A" w:rsidRPr="00BB5ADD" w:rsidRDefault="00433B0A" w:rsidP="00BB6939"/>
    <w:p w14:paraId="542E8BBA" w14:textId="242C5309" w:rsidR="00BB6939" w:rsidRPr="00BB5ADD" w:rsidRDefault="00BB6939" w:rsidP="00CF3785">
      <w:pPr>
        <w:spacing w:line="360" w:lineRule="auto"/>
        <w:jc w:val="center"/>
        <w:rPr>
          <w:b/>
          <w:bCs/>
        </w:rPr>
      </w:pPr>
      <w:r w:rsidRPr="00BB5ADD">
        <w:rPr>
          <w:b/>
          <w:bCs/>
        </w:rPr>
        <w:t>Methods</w:t>
      </w:r>
    </w:p>
    <w:p w14:paraId="18B33C75" w14:textId="77777777" w:rsidR="00BB6939" w:rsidRPr="00BB5ADD" w:rsidRDefault="00BB6939" w:rsidP="00BB6939"/>
    <w:p w14:paraId="4B82CC2D" w14:textId="2F98A026" w:rsidR="00700E97" w:rsidRPr="00BB5ADD" w:rsidRDefault="00BB6939" w:rsidP="00555F14">
      <w:pPr>
        <w:spacing w:line="360" w:lineRule="auto"/>
      </w:pPr>
      <w:r w:rsidRPr="00BB5ADD">
        <w:t>The MedAlerts.org</w:t>
      </w:r>
      <w:r w:rsidR="00700E97" w:rsidRPr="00BB5ADD">
        <w:t xml:space="preserve"> </w:t>
      </w:r>
      <w:r w:rsidRPr="00BB5ADD">
        <w:t>platform for VAERS was used for data extraction.</w:t>
      </w:r>
      <w:r w:rsidR="006A1E2E" w:rsidRPr="00BB5ADD">
        <w:rPr>
          <w:vertAlign w:val="superscript"/>
        </w:rPr>
        <w:t>6</w:t>
      </w:r>
      <w:r w:rsidR="007023F7">
        <w:t xml:space="preserve"> </w:t>
      </w:r>
      <w:r w:rsidR="00A44B35" w:rsidRPr="00BB5ADD">
        <w:t>This</w:t>
      </w:r>
      <w:r w:rsidRPr="00BB5ADD">
        <w:t xml:space="preserve"> platform is co-owned and managed by the US Centers for Disease Control and Prevention (CDC) and the Food and Drug Administration (FDA). </w:t>
      </w:r>
      <w:r w:rsidR="00DA1956" w:rsidRPr="00BB5ADD">
        <w:t xml:space="preserve">The system </w:t>
      </w:r>
      <w:r w:rsidRPr="00BB5ADD">
        <w:t>utilizes MedDRA (</w:t>
      </w:r>
      <w:r w:rsidR="00200316" w:rsidRPr="00BB5ADD">
        <w:t>M</w:t>
      </w:r>
      <w:r w:rsidRPr="00BB5ADD">
        <w:t xml:space="preserve">edical </w:t>
      </w:r>
      <w:r w:rsidR="00200316" w:rsidRPr="00BB5ADD">
        <w:t>D</w:t>
      </w:r>
      <w:r w:rsidRPr="00BB5ADD">
        <w:t xml:space="preserve">ictionary for </w:t>
      </w:r>
      <w:r w:rsidR="00200316" w:rsidRPr="00BB5ADD">
        <w:t>R</w:t>
      </w:r>
      <w:r w:rsidRPr="00BB5ADD">
        <w:t xml:space="preserve">egulatory </w:t>
      </w:r>
      <w:r w:rsidR="00200316" w:rsidRPr="00BB5ADD">
        <w:t>A</w:t>
      </w:r>
      <w:r w:rsidRPr="00BB5ADD">
        <w:t xml:space="preserve">ctivities) which is clinically validated international medical terminology used for regulatory and biopharmaceutical purposes. For this publication the data involving relevant MedDRA “lowest level terms” (LLT’s) were analyzed. </w:t>
      </w:r>
      <w:r w:rsidR="00555F14" w:rsidRPr="00BB5ADD">
        <w:t xml:space="preserve">The MedDRA </w:t>
      </w:r>
      <w:r w:rsidR="00B10EA2" w:rsidRPr="00BB5ADD">
        <w:t>l</w:t>
      </w:r>
      <w:r w:rsidR="00555F14" w:rsidRPr="00BB5ADD">
        <w:t xml:space="preserve">owest </w:t>
      </w:r>
      <w:r w:rsidR="00B10EA2" w:rsidRPr="00BB5ADD">
        <w:t>l</w:t>
      </w:r>
      <w:r w:rsidR="00555F14" w:rsidRPr="00BB5ADD">
        <w:t xml:space="preserve">evel </w:t>
      </w:r>
      <w:r w:rsidR="00B10EA2" w:rsidRPr="00BB5ADD">
        <w:t>t</w:t>
      </w:r>
      <w:r w:rsidR="00555F14" w:rsidRPr="00BB5ADD">
        <w:t>erms (LLTs) are formatted in British English, which leads to spelling variations in standard English search terms</w:t>
      </w:r>
      <w:r w:rsidR="00976B45" w:rsidRPr="00BB5ADD">
        <w:t xml:space="preserve"> resulting in obfuscation</w:t>
      </w:r>
      <w:r w:rsidR="0092788C" w:rsidRPr="00BB5ADD">
        <w:t xml:space="preserve"> and challenges to </w:t>
      </w:r>
      <w:r w:rsidR="006C0B71" w:rsidRPr="00BB5ADD">
        <w:t>researchers</w:t>
      </w:r>
      <w:r w:rsidR="00555F14" w:rsidRPr="00BB5ADD">
        <w:t xml:space="preserve">. This should be </w:t>
      </w:r>
      <w:proofErr w:type="gramStart"/>
      <w:r w:rsidR="00555F14" w:rsidRPr="00BB5ADD">
        <w:t>taken into account</w:t>
      </w:r>
      <w:proofErr w:type="gramEnd"/>
      <w:r w:rsidR="00555F14" w:rsidRPr="00BB5ADD">
        <w:t xml:space="preserve"> to facilitate researchers' queries and ensure our results can be accurately duplicated.</w:t>
      </w:r>
      <w:r w:rsidRPr="00BB5ADD">
        <w:t xml:space="preserve"> The following </w:t>
      </w:r>
      <w:r w:rsidR="00AD09B6" w:rsidRPr="00BB5ADD">
        <w:t>6</w:t>
      </w:r>
      <w:r w:rsidR="00BB5ADD" w:rsidRPr="00BB5ADD">
        <w:t>3</w:t>
      </w:r>
      <w:r w:rsidR="00AD09B6" w:rsidRPr="00BB5ADD">
        <w:t xml:space="preserve"> </w:t>
      </w:r>
      <w:r w:rsidRPr="00BB5ADD">
        <w:t xml:space="preserve">“symptoms” were extracted from VAERS using the MedDRA LLT’s referred to hereafter as </w:t>
      </w:r>
      <w:r w:rsidRPr="00BB5ADD">
        <w:lastRenderedPageBreak/>
        <w:t>CNS adverse events (AEs)</w:t>
      </w:r>
      <w:r w:rsidR="00700E97" w:rsidRPr="00BB5ADD">
        <w:t>, and were</w:t>
      </w:r>
      <w:r w:rsidR="005B7DA5" w:rsidRPr="00BB5ADD">
        <w:t xml:space="preserve"> </w:t>
      </w:r>
      <w:r w:rsidR="00700E97" w:rsidRPr="00BB5ADD">
        <w:t>divided into four clinically distinct and separate categories for the analytics:</w:t>
      </w:r>
    </w:p>
    <w:p w14:paraId="73DFC917" w14:textId="19C1E2F0" w:rsidR="00700E97" w:rsidRPr="00BB5ADD" w:rsidRDefault="00700E97" w:rsidP="00700E97">
      <w:pPr>
        <w:pStyle w:val="ListParagraph"/>
        <w:numPr>
          <w:ilvl w:val="0"/>
          <w:numId w:val="3"/>
        </w:numPr>
        <w:spacing w:line="360" w:lineRule="auto"/>
        <w:rPr>
          <w:rFonts w:ascii="Times New Roman" w:hAnsi="Times New Roman" w:cs="Times New Roman"/>
        </w:rPr>
      </w:pPr>
      <w:r w:rsidRPr="00BB5ADD">
        <w:rPr>
          <w:rFonts w:ascii="Times New Roman" w:hAnsi="Times New Roman" w:cs="Times New Roman"/>
          <w:i/>
          <w:iCs/>
        </w:rPr>
        <w:t>Central nervous system infection</w:t>
      </w:r>
    </w:p>
    <w:p w14:paraId="6B326306" w14:textId="7B091475" w:rsidR="00700E97" w:rsidRPr="00BB5ADD" w:rsidRDefault="006D727D" w:rsidP="00700E97">
      <w:pPr>
        <w:pStyle w:val="ListParagraph"/>
        <w:numPr>
          <w:ilvl w:val="0"/>
          <w:numId w:val="3"/>
        </w:numPr>
        <w:spacing w:line="360" w:lineRule="auto"/>
        <w:rPr>
          <w:rFonts w:ascii="Times New Roman" w:hAnsi="Times New Roman" w:cs="Times New Roman"/>
        </w:rPr>
      </w:pPr>
      <w:r w:rsidRPr="00BB5ADD">
        <w:rPr>
          <w:rFonts w:ascii="Times New Roman" w:hAnsi="Times New Roman" w:cs="Times New Roman"/>
          <w:i/>
          <w:iCs/>
        </w:rPr>
        <w:t xml:space="preserve">Herpetic </w:t>
      </w:r>
      <w:r w:rsidR="000D6998" w:rsidRPr="00BB5ADD">
        <w:rPr>
          <w:rFonts w:ascii="Times New Roman" w:hAnsi="Times New Roman" w:cs="Times New Roman"/>
          <w:i/>
          <w:iCs/>
        </w:rPr>
        <w:t>c</w:t>
      </w:r>
      <w:r w:rsidR="00700E97" w:rsidRPr="00BB5ADD">
        <w:rPr>
          <w:rFonts w:ascii="Times New Roman" w:hAnsi="Times New Roman" w:cs="Times New Roman"/>
          <w:i/>
          <w:iCs/>
        </w:rPr>
        <w:t>entral nervous system infection</w:t>
      </w:r>
    </w:p>
    <w:p w14:paraId="070DDE23" w14:textId="77777777" w:rsidR="00700E97" w:rsidRPr="00BB5ADD" w:rsidRDefault="00700E97" w:rsidP="00700E97">
      <w:pPr>
        <w:pStyle w:val="ListParagraph"/>
        <w:numPr>
          <w:ilvl w:val="0"/>
          <w:numId w:val="3"/>
        </w:numPr>
        <w:spacing w:line="360" w:lineRule="auto"/>
        <w:rPr>
          <w:rFonts w:ascii="Times New Roman" w:hAnsi="Times New Roman" w:cs="Times New Roman"/>
        </w:rPr>
      </w:pPr>
      <w:r w:rsidRPr="00BB5ADD">
        <w:rPr>
          <w:rFonts w:ascii="Times New Roman" w:hAnsi="Times New Roman" w:cs="Times New Roman"/>
          <w:i/>
          <w:iCs/>
        </w:rPr>
        <w:t>Central nervous system abscess</w:t>
      </w:r>
    </w:p>
    <w:p w14:paraId="2F231ED6" w14:textId="0A4C1016" w:rsidR="00BB6939" w:rsidRPr="00BB5ADD" w:rsidRDefault="006A1E2E" w:rsidP="00AD09B6">
      <w:pPr>
        <w:pStyle w:val="ListParagraph"/>
        <w:numPr>
          <w:ilvl w:val="0"/>
          <w:numId w:val="3"/>
        </w:numPr>
        <w:spacing w:line="360" w:lineRule="auto"/>
        <w:rPr>
          <w:rFonts w:ascii="Times New Roman" w:hAnsi="Times New Roman" w:cs="Times New Roman"/>
        </w:rPr>
      </w:pPr>
      <w:r w:rsidRPr="00BB5ADD">
        <w:rPr>
          <w:rFonts w:ascii="Times New Roman" w:hAnsi="Times New Roman" w:cs="Times New Roman"/>
          <w:i/>
          <w:iCs/>
        </w:rPr>
        <w:t>Uncommon</w:t>
      </w:r>
      <w:r w:rsidR="00602F41" w:rsidRPr="00BB5ADD">
        <w:rPr>
          <w:rFonts w:ascii="Times New Roman" w:hAnsi="Times New Roman" w:cs="Times New Roman"/>
          <w:i/>
          <w:iCs/>
        </w:rPr>
        <w:t xml:space="preserve"> neurological</w:t>
      </w:r>
      <w:r w:rsidRPr="00BB5ADD">
        <w:rPr>
          <w:rFonts w:ascii="Times New Roman" w:hAnsi="Times New Roman" w:cs="Times New Roman"/>
          <w:i/>
          <w:iCs/>
        </w:rPr>
        <w:t xml:space="preserve"> disease</w:t>
      </w:r>
      <w:r w:rsidR="00BB6939" w:rsidRPr="00BB5ADD">
        <w:rPr>
          <w:rFonts w:ascii="Times New Roman" w:hAnsi="Times New Roman" w:cs="Times New Roman"/>
        </w:rPr>
        <w:t xml:space="preserve"> </w:t>
      </w:r>
    </w:p>
    <w:p w14:paraId="31AED0E6" w14:textId="77777777" w:rsidR="00E26362" w:rsidRPr="00BB5ADD" w:rsidRDefault="00E26362" w:rsidP="00605F13">
      <w:pPr>
        <w:spacing w:line="360" w:lineRule="auto"/>
        <w:rPr>
          <w:b/>
          <w:bCs/>
        </w:rPr>
      </w:pPr>
    </w:p>
    <w:p w14:paraId="547B2C23" w14:textId="0E4AAB42" w:rsidR="00605F13" w:rsidRPr="00BB5ADD" w:rsidRDefault="00700E97" w:rsidP="00605F13">
      <w:pPr>
        <w:spacing w:line="360" w:lineRule="auto"/>
      </w:pPr>
      <w:r w:rsidRPr="00BB5ADD">
        <w:rPr>
          <w:b/>
          <w:bCs/>
        </w:rPr>
        <w:t>Central nervous system infection LLTs (</w:t>
      </w:r>
      <w:r w:rsidR="00DA1956" w:rsidRPr="00BB5ADD">
        <w:rPr>
          <w:b/>
          <w:bCs/>
        </w:rPr>
        <w:t>n=</w:t>
      </w:r>
      <w:r w:rsidR="00045476" w:rsidRPr="00BB5ADD">
        <w:rPr>
          <w:b/>
          <w:bCs/>
        </w:rPr>
        <w:t>39</w:t>
      </w:r>
      <w:r w:rsidRPr="00BB5ADD">
        <w:rPr>
          <w:b/>
          <w:bCs/>
        </w:rPr>
        <w:t>):</w:t>
      </w:r>
      <w:r w:rsidRPr="00BB5ADD">
        <w:t xml:space="preserve"> </w:t>
      </w:r>
      <w:r w:rsidR="00F77DA2" w:rsidRPr="00BB5ADD">
        <w:t xml:space="preserve">1) </w:t>
      </w:r>
      <w:r w:rsidRPr="00BB5ADD">
        <w:t xml:space="preserve">Acute disseminated encephalomyelitis, </w:t>
      </w:r>
      <w:r w:rsidR="007B17C1" w:rsidRPr="00BB5ADD">
        <w:t xml:space="preserve">2) </w:t>
      </w:r>
      <w:r w:rsidRPr="00BB5ADD">
        <w:t xml:space="preserve">Acute hemorrhagic leukoencephalitis, </w:t>
      </w:r>
      <w:r w:rsidR="007B17C1" w:rsidRPr="00BB5ADD">
        <w:t xml:space="preserve">3) </w:t>
      </w:r>
      <w:r w:rsidR="00602F41" w:rsidRPr="00BB5ADD">
        <w:t xml:space="preserve">Autoimmune encephalopathy, </w:t>
      </w:r>
      <w:r w:rsidR="007B17C1" w:rsidRPr="00BB5ADD">
        <w:t xml:space="preserve">4) </w:t>
      </w:r>
      <w:r w:rsidR="00602F41" w:rsidRPr="00BB5ADD">
        <w:t xml:space="preserve">Bickerstaff's encephalitis, </w:t>
      </w:r>
      <w:r w:rsidR="007B17C1" w:rsidRPr="00BB5ADD">
        <w:t xml:space="preserve">5) </w:t>
      </w:r>
      <w:r w:rsidR="00605F13" w:rsidRPr="00BB5ADD">
        <w:t xml:space="preserve">Central nervous system infection, </w:t>
      </w:r>
      <w:r w:rsidR="007B17C1" w:rsidRPr="00BB5ADD">
        <w:t xml:space="preserve">6) </w:t>
      </w:r>
      <w:r w:rsidR="00605F13" w:rsidRPr="00BB5ADD">
        <w:t xml:space="preserve">Central nervous system viral infection, </w:t>
      </w:r>
      <w:r w:rsidR="007B17C1" w:rsidRPr="00BB5ADD">
        <w:t xml:space="preserve">7) </w:t>
      </w:r>
      <w:r w:rsidR="00605F13" w:rsidRPr="00BB5ADD">
        <w:t xml:space="preserve">Cerebral fungal infection, </w:t>
      </w:r>
      <w:r w:rsidR="007B17C1" w:rsidRPr="00BB5ADD">
        <w:t xml:space="preserve">8) </w:t>
      </w:r>
      <w:r w:rsidR="00605F13" w:rsidRPr="00BB5ADD">
        <w:t xml:space="preserve">Cerebral septic infarct, </w:t>
      </w:r>
      <w:r w:rsidR="00A20A88" w:rsidRPr="00BB5ADD">
        <w:t xml:space="preserve">9) </w:t>
      </w:r>
      <w:r w:rsidR="00605F13" w:rsidRPr="00BB5ADD">
        <w:t xml:space="preserve">Cerebral toxoplasmosis, </w:t>
      </w:r>
      <w:r w:rsidR="00A20A88" w:rsidRPr="00BB5ADD">
        <w:t xml:space="preserve">10) </w:t>
      </w:r>
      <w:r w:rsidR="00605F13" w:rsidRPr="00BB5ADD">
        <w:t xml:space="preserve">CNS </w:t>
      </w:r>
      <w:r w:rsidR="00B10EA2" w:rsidRPr="00BB5ADD">
        <w:t>v</w:t>
      </w:r>
      <w:r w:rsidR="00605F13" w:rsidRPr="00BB5ADD">
        <w:t xml:space="preserve">entriculitis, </w:t>
      </w:r>
      <w:r w:rsidR="00A20A88" w:rsidRPr="00BB5ADD">
        <w:t xml:space="preserve">11) </w:t>
      </w:r>
      <w:r w:rsidR="00605F13" w:rsidRPr="00BB5ADD">
        <w:t xml:space="preserve">Cranial nerve infection, </w:t>
      </w:r>
      <w:r w:rsidR="00700E4C" w:rsidRPr="00BB5ADD">
        <w:t xml:space="preserve">12) </w:t>
      </w:r>
      <w:r w:rsidR="00605F13" w:rsidRPr="00BB5ADD">
        <w:t xml:space="preserve">CSF white blood cell count, </w:t>
      </w:r>
      <w:r w:rsidR="00700E4C" w:rsidRPr="00BB5ADD">
        <w:t xml:space="preserve">13) </w:t>
      </w:r>
      <w:r w:rsidR="00602F41" w:rsidRPr="00BB5ADD">
        <w:t xml:space="preserve">Encephalitis, </w:t>
      </w:r>
      <w:r w:rsidR="00700E4C" w:rsidRPr="00BB5ADD">
        <w:t xml:space="preserve">14) </w:t>
      </w:r>
      <w:r w:rsidR="00605F13" w:rsidRPr="00BB5ADD">
        <w:t xml:space="preserve">Encephalitis </w:t>
      </w:r>
      <w:r w:rsidR="00B10EA2" w:rsidRPr="00BB5ADD">
        <w:t>a</w:t>
      </w:r>
      <w:r w:rsidR="00605F13" w:rsidRPr="00BB5ADD">
        <w:t xml:space="preserve">utoimmune, </w:t>
      </w:r>
      <w:r w:rsidR="00700E4C" w:rsidRPr="00BB5ADD">
        <w:t xml:space="preserve">15) </w:t>
      </w:r>
      <w:r w:rsidR="00605F13" w:rsidRPr="00BB5ADD">
        <w:t xml:space="preserve">Encephalitis brain stem, </w:t>
      </w:r>
      <w:r w:rsidR="00700E4C" w:rsidRPr="00BB5ADD">
        <w:t xml:space="preserve">16) </w:t>
      </w:r>
      <w:r w:rsidR="00605F13" w:rsidRPr="00BB5ADD">
        <w:t xml:space="preserve">Encephalitis meningococcal, </w:t>
      </w:r>
      <w:r w:rsidR="00CB2384" w:rsidRPr="00BB5ADD">
        <w:t xml:space="preserve">17) </w:t>
      </w:r>
      <w:r w:rsidR="00605F13" w:rsidRPr="00BB5ADD">
        <w:t>Encephalitis post immuni</w:t>
      </w:r>
      <w:r w:rsidR="00E04769" w:rsidRPr="00BB5ADD">
        <w:t>s</w:t>
      </w:r>
      <w:r w:rsidR="00605F13" w:rsidRPr="00BB5ADD">
        <w:t xml:space="preserve">ation, </w:t>
      </w:r>
      <w:r w:rsidR="00CB2384" w:rsidRPr="00BB5ADD">
        <w:t xml:space="preserve">18) </w:t>
      </w:r>
      <w:r w:rsidR="00605F13" w:rsidRPr="00BB5ADD">
        <w:t xml:space="preserve">Encephalitis viral, </w:t>
      </w:r>
      <w:r w:rsidR="00CB2384" w:rsidRPr="00BB5ADD">
        <w:t xml:space="preserve">19) </w:t>
      </w:r>
      <w:r w:rsidR="00605F13" w:rsidRPr="00BB5ADD">
        <w:t xml:space="preserve">Encephalomyelitis, </w:t>
      </w:r>
      <w:r w:rsidR="00CB2384" w:rsidRPr="00BB5ADD">
        <w:t xml:space="preserve">20) </w:t>
      </w:r>
      <w:r w:rsidR="00605F13" w:rsidRPr="00BB5ADD">
        <w:t xml:space="preserve">Limbic encephalitis, </w:t>
      </w:r>
      <w:r w:rsidR="00CB2384" w:rsidRPr="00BB5ADD">
        <w:t xml:space="preserve">21) </w:t>
      </w:r>
      <w:r w:rsidR="00602F41" w:rsidRPr="00BB5ADD">
        <w:t xml:space="preserve">Meningitis, </w:t>
      </w:r>
      <w:r w:rsidR="00CB2384" w:rsidRPr="00BB5ADD">
        <w:t xml:space="preserve">22) </w:t>
      </w:r>
      <w:r w:rsidR="00602F41" w:rsidRPr="00BB5ADD">
        <w:t xml:space="preserve">Meningitis aseptic, </w:t>
      </w:r>
      <w:r w:rsidR="001E77C7" w:rsidRPr="00BB5ADD">
        <w:t>23)</w:t>
      </w:r>
      <w:r w:rsidR="00602F41" w:rsidRPr="00BB5ADD">
        <w:t xml:space="preserve">Meningitis bacterial, </w:t>
      </w:r>
      <w:r w:rsidR="001E77C7" w:rsidRPr="00BB5ADD">
        <w:t xml:space="preserve">24) </w:t>
      </w:r>
      <w:r w:rsidR="00602F41" w:rsidRPr="00BB5ADD">
        <w:t xml:space="preserve">Meningitis pneumococcal, </w:t>
      </w:r>
      <w:r w:rsidR="001E77C7" w:rsidRPr="00BB5ADD">
        <w:t xml:space="preserve">25) </w:t>
      </w:r>
      <w:r w:rsidR="00602F41" w:rsidRPr="00BB5ADD">
        <w:t xml:space="preserve">Meningitis tuberculous, </w:t>
      </w:r>
      <w:r w:rsidR="001E77C7" w:rsidRPr="00BB5ADD">
        <w:t xml:space="preserve">26) </w:t>
      </w:r>
      <w:r w:rsidR="00602F41" w:rsidRPr="00BB5ADD">
        <w:t xml:space="preserve">Meningitis viral, </w:t>
      </w:r>
      <w:r w:rsidR="001E77C7" w:rsidRPr="00BB5ADD">
        <w:t xml:space="preserve">27) </w:t>
      </w:r>
      <w:r w:rsidR="00602F41" w:rsidRPr="00BB5ADD">
        <w:t xml:space="preserve">Meningoencephalitis bacterial, </w:t>
      </w:r>
      <w:r w:rsidR="001E77C7" w:rsidRPr="00BB5ADD">
        <w:t xml:space="preserve">28) </w:t>
      </w:r>
      <w:r w:rsidR="00602F41" w:rsidRPr="00BB5ADD">
        <w:t xml:space="preserve">Meningoencephalitis viral, </w:t>
      </w:r>
      <w:r w:rsidR="00EC5A7F" w:rsidRPr="00BB5ADD">
        <w:t xml:space="preserve">29) </w:t>
      </w:r>
      <w:r w:rsidR="00602F41" w:rsidRPr="00BB5ADD">
        <w:t xml:space="preserve">Meningococcal infection, </w:t>
      </w:r>
      <w:r w:rsidR="00EC5A7F" w:rsidRPr="00BB5ADD">
        <w:t xml:space="preserve">30) </w:t>
      </w:r>
      <w:r w:rsidR="00602F41" w:rsidRPr="00BB5ADD">
        <w:t xml:space="preserve">Meningoradiculitis, </w:t>
      </w:r>
      <w:r w:rsidR="00EC5A7F" w:rsidRPr="00BB5ADD">
        <w:t xml:space="preserve">31) </w:t>
      </w:r>
      <w:r w:rsidR="00602F41" w:rsidRPr="00BB5ADD">
        <w:t xml:space="preserve">Neuroborreliosis, </w:t>
      </w:r>
      <w:r w:rsidR="00EC5A7F" w:rsidRPr="00BB5ADD">
        <w:t xml:space="preserve">32) </w:t>
      </w:r>
      <w:r w:rsidR="00602F41" w:rsidRPr="00BB5ADD">
        <w:t xml:space="preserve">Neurological infection, </w:t>
      </w:r>
      <w:r w:rsidR="00EC5A7F" w:rsidRPr="00BB5ADD">
        <w:t xml:space="preserve">33) </w:t>
      </w:r>
      <w:r w:rsidR="00602F41" w:rsidRPr="00BB5ADD">
        <w:t xml:space="preserve">Neurosyphilis, </w:t>
      </w:r>
      <w:r w:rsidR="00EC5A7F" w:rsidRPr="00BB5ADD">
        <w:t xml:space="preserve">34) </w:t>
      </w:r>
      <w:r w:rsidR="00605F13" w:rsidRPr="00BB5ADD">
        <w:t xml:space="preserve">Noninfective encephalitis, </w:t>
      </w:r>
      <w:r w:rsidR="00161BD5" w:rsidRPr="00BB5ADD">
        <w:t xml:space="preserve">35) </w:t>
      </w:r>
      <w:r w:rsidR="00602F41" w:rsidRPr="00BB5ADD">
        <w:t xml:space="preserve">Pachymeningitis, </w:t>
      </w:r>
      <w:r w:rsidR="00161BD5" w:rsidRPr="00BB5ADD">
        <w:t xml:space="preserve">36) </w:t>
      </w:r>
      <w:r w:rsidR="00602F41" w:rsidRPr="00BB5ADD">
        <w:t xml:space="preserve">Progressive multifocal leukoencephalopathy, </w:t>
      </w:r>
      <w:r w:rsidR="00161BD5" w:rsidRPr="00BB5ADD">
        <w:t xml:space="preserve">37) </w:t>
      </w:r>
      <w:r w:rsidR="00602F41" w:rsidRPr="00BB5ADD">
        <w:t xml:space="preserve">Spinal cord infection, </w:t>
      </w:r>
      <w:r w:rsidR="00161BD5" w:rsidRPr="00BB5ADD">
        <w:t xml:space="preserve">38) </w:t>
      </w:r>
      <w:r w:rsidR="00605F13" w:rsidRPr="00BB5ADD">
        <w:t xml:space="preserve">Tick-borne viral encephalitis, </w:t>
      </w:r>
      <w:r w:rsidR="00B55C09" w:rsidRPr="00BB5ADD">
        <w:t xml:space="preserve">and </w:t>
      </w:r>
      <w:r w:rsidR="00161BD5" w:rsidRPr="00BB5ADD">
        <w:t xml:space="preserve">39) </w:t>
      </w:r>
      <w:r w:rsidR="00605F13" w:rsidRPr="00BB5ADD">
        <w:t xml:space="preserve">Toxic encephalopathy. </w:t>
      </w:r>
      <w:r w:rsidRPr="00BB5ADD">
        <w:t xml:space="preserve"> </w:t>
      </w:r>
    </w:p>
    <w:p w14:paraId="7492A171" w14:textId="77777777" w:rsidR="00AD09B6" w:rsidRPr="00BB5ADD" w:rsidRDefault="00AD09B6" w:rsidP="00605F13">
      <w:pPr>
        <w:spacing w:line="360" w:lineRule="auto"/>
      </w:pPr>
    </w:p>
    <w:p w14:paraId="6E0A807F" w14:textId="5EB71713" w:rsidR="00605F13" w:rsidRPr="00BB5ADD" w:rsidRDefault="00605F13" w:rsidP="00AD09B6">
      <w:pPr>
        <w:spacing w:line="360" w:lineRule="auto"/>
      </w:pPr>
      <w:r w:rsidRPr="00BB5ADD">
        <w:rPr>
          <w:b/>
          <w:bCs/>
        </w:rPr>
        <w:t>Central nervous system herpes infection LLTs (</w:t>
      </w:r>
      <w:r w:rsidR="00DA1956" w:rsidRPr="00BB5ADD">
        <w:rPr>
          <w:b/>
          <w:bCs/>
        </w:rPr>
        <w:t>n=</w:t>
      </w:r>
      <w:r w:rsidRPr="00BB5ADD">
        <w:rPr>
          <w:b/>
          <w:bCs/>
        </w:rPr>
        <w:t xml:space="preserve">11): </w:t>
      </w:r>
      <w:r w:rsidR="002E3FC4" w:rsidRPr="00BB5ADD">
        <w:t>1)</w:t>
      </w:r>
      <w:r w:rsidR="00993F58" w:rsidRPr="00BB5ADD">
        <w:t xml:space="preserve"> </w:t>
      </w:r>
      <w:r w:rsidR="006D727D" w:rsidRPr="00BB5ADD">
        <w:t xml:space="preserve">Herpes simplex encephalitis, </w:t>
      </w:r>
      <w:r w:rsidR="00993F58" w:rsidRPr="00BB5ADD">
        <w:t xml:space="preserve">2) </w:t>
      </w:r>
      <w:r w:rsidRPr="00BB5ADD">
        <w:t xml:space="preserve">Herpes simplex meningitis, </w:t>
      </w:r>
      <w:r w:rsidR="00993F58" w:rsidRPr="00BB5ADD">
        <w:t xml:space="preserve">3) </w:t>
      </w:r>
      <w:r w:rsidRPr="00BB5ADD">
        <w:t xml:space="preserve">Herpes simplex meningoencephalitis, </w:t>
      </w:r>
      <w:r w:rsidR="00993F58" w:rsidRPr="00BB5ADD">
        <w:t xml:space="preserve">4) </w:t>
      </w:r>
      <w:r w:rsidR="006D727D" w:rsidRPr="00BB5ADD">
        <w:t xml:space="preserve">Herpes zoster infection neurological, </w:t>
      </w:r>
      <w:r w:rsidR="00B85E8D" w:rsidRPr="00BB5ADD">
        <w:t xml:space="preserve">5) </w:t>
      </w:r>
      <w:r w:rsidR="002A2FCA" w:rsidRPr="00BB5ADD">
        <w:t xml:space="preserve">Herpes zoster meningitis, </w:t>
      </w:r>
      <w:r w:rsidR="00B85E8D" w:rsidRPr="00BB5ADD">
        <w:t xml:space="preserve">6) </w:t>
      </w:r>
      <w:r w:rsidR="002A2FCA" w:rsidRPr="00BB5ADD">
        <w:t xml:space="preserve">Herpes zoster meningoencephalitis, </w:t>
      </w:r>
      <w:r w:rsidR="00B85E8D" w:rsidRPr="00BB5ADD">
        <w:t xml:space="preserve">7) </w:t>
      </w:r>
      <w:r w:rsidR="002A2FCA" w:rsidRPr="00BB5ADD">
        <w:t xml:space="preserve">Herpes zoster meningomyelitis, </w:t>
      </w:r>
      <w:r w:rsidR="00B85E8D" w:rsidRPr="00BB5ADD">
        <w:t xml:space="preserve">8) </w:t>
      </w:r>
      <w:r w:rsidR="002A2FCA" w:rsidRPr="00BB5ADD">
        <w:t xml:space="preserve">Herpes zoster meningoradiculitis, </w:t>
      </w:r>
      <w:r w:rsidR="00B85E8D" w:rsidRPr="00BB5ADD">
        <w:t xml:space="preserve">9) </w:t>
      </w:r>
      <w:r w:rsidR="002A2FCA" w:rsidRPr="00BB5ADD">
        <w:t xml:space="preserve">Meningitis herpes, </w:t>
      </w:r>
      <w:r w:rsidR="00B85E8D" w:rsidRPr="00BB5ADD">
        <w:t xml:space="preserve">10) </w:t>
      </w:r>
      <w:r w:rsidR="002A2FCA" w:rsidRPr="00BB5ADD">
        <w:t xml:space="preserve">Meningoencephalitis herpetic, </w:t>
      </w:r>
      <w:r w:rsidR="00DA1956" w:rsidRPr="00BB5ADD">
        <w:t xml:space="preserve">and </w:t>
      </w:r>
      <w:r w:rsidR="001F3F7C" w:rsidRPr="00BB5ADD">
        <w:t xml:space="preserve">11) </w:t>
      </w:r>
      <w:r w:rsidR="002A2FCA" w:rsidRPr="00BB5ADD">
        <w:t>Varicella meningitis.</w:t>
      </w:r>
    </w:p>
    <w:p w14:paraId="18E5B951" w14:textId="77777777" w:rsidR="00700E97" w:rsidRPr="00BB5ADD" w:rsidRDefault="00700E97" w:rsidP="00BB6939">
      <w:pPr>
        <w:spacing w:line="360" w:lineRule="auto"/>
      </w:pPr>
    </w:p>
    <w:p w14:paraId="54F720C8" w14:textId="632B9E0E" w:rsidR="00870285" w:rsidRPr="00BB5ADD" w:rsidRDefault="00870285" w:rsidP="00870285">
      <w:pPr>
        <w:spacing w:line="360" w:lineRule="auto"/>
      </w:pPr>
      <w:r w:rsidRPr="00BB5ADD">
        <w:rPr>
          <w:b/>
          <w:bCs/>
        </w:rPr>
        <w:t>Central nervous system abscess LLTs (</w:t>
      </w:r>
      <w:r w:rsidR="00DA1956" w:rsidRPr="00BB5ADD">
        <w:rPr>
          <w:b/>
          <w:bCs/>
        </w:rPr>
        <w:t>n=</w:t>
      </w:r>
      <w:r w:rsidRPr="00BB5ADD">
        <w:rPr>
          <w:b/>
          <w:bCs/>
        </w:rPr>
        <w:t>4):</w:t>
      </w:r>
      <w:r w:rsidRPr="00BB5ADD">
        <w:t xml:space="preserve"> </w:t>
      </w:r>
      <w:r w:rsidR="001F3F7C" w:rsidRPr="00BB5ADD">
        <w:t xml:space="preserve">1) </w:t>
      </w:r>
      <w:r w:rsidRPr="00BB5ADD">
        <w:t xml:space="preserve">Brain abscess, </w:t>
      </w:r>
      <w:r w:rsidR="001F3F7C" w:rsidRPr="00BB5ADD">
        <w:t xml:space="preserve">2) </w:t>
      </w:r>
      <w:r w:rsidR="006D727D" w:rsidRPr="00BB5ADD">
        <w:t xml:space="preserve">Extradural abscess, </w:t>
      </w:r>
      <w:r w:rsidR="001F3F7C" w:rsidRPr="00BB5ADD">
        <w:t xml:space="preserve">3) </w:t>
      </w:r>
      <w:r w:rsidRPr="00BB5ADD">
        <w:t xml:space="preserve">Spinal cord abscess, </w:t>
      </w:r>
      <w:r w:rsidR="00B55C09" w:rsidRPr="00BB5ADD">
        <w:t xml:space="preserve">and </w:t>
      </w:r>
      <w:r w:rsidR="001F3F7C" w:rsidRPr="00BB5ADD">
        <w:t xml:space="preserve">4) </w:t>
      </w:r>
      <w:r w:rsidRPr="00BB5ADD">
        <w:t>Subdural abscess.</w:t>
      </w:r>
    </w:p>
    <w:p w14:paraId="2E1E8A53" w14:textId="77777777" w:rsidR="00870285" w:rsidRPr="00BB5ADD" w:rsidRDefault="00870285" w:rsidP="00870285">
      <w:pPr>
        <w:spacing w:line="360" w:lineRule="auto"/>
      </w:pPr>
    </w:p>
    <w:p w14:paraId="69F105AE" w14:textId="752FE071" w:rsidR="00870285" w:rsidRPr="00BB5ADD" w:rsidRDefault="006A1E2E" w:rsidP="00AD09B6">
      <w:pPr>
        <w:spacing w:line="360" w:lineRule="auto"/>
      </w:pPr>
      <w:r w:rsidRPr="00BB5ADD">
        <w:rPr>
          <w:b/>
          <w:bCs/>
        </w:rPr>
        <w:lastRenderedPageBreak/>
        <w:t xml:space="preserve">Uncommon </w:t>
      </w:r>
      <w:r w:rsidR="00602F41" w:rsidRPr="00BB5ADD">
        <w:rPr>
          <w:b/>
          <w:bCs/>
        </w:rPr>
        <w:t>neurological d</w:t>
      </w:r>
      <w:r w:rsidR="00870285" w:rsidRPr="00BB5ADD">
        <w:rPr>
          <w:b/>
          <w:bCs/>
        </w:rPr>
        <w:t>isease LLTs (</w:t>
      </w:r>
      <w:r w:rsidR="00DA1956" w:rsidRPr="00BB5ADD">
        <w:rPr>
          <w:b/>
          <w:bCs/>
        </w:rPr>
        <w:t>n=</w:t>
      </w:r>
      <w:r w:rsidR="00870285" w:rsidRPr="00BB5ADD">
        <w:rPr>
          <w:b/>
          <w:bCs/>
        </w:rPr>
        <w:t>9):</w:t>
      </w:r>
      <w:r w:rsidR="00870285" w:rsidRPr="00BB5ADD">
        <w:t xml:space="preserve"> </w:t>
      </w:r>
      <w:r w:rsidR="00511EDB" w:rsidRPr="00BB5ADD">
        <w:t xml:space="preserve">1) </w:t>
      </w:r>
      <w:r w:rsidR="00870285" w:rsidRPr="00BB5ADD">
        <w:t>Creutzfeldt-</w:t>
      </w:r>
      <w:r w:rsidR="00DA1956" w:rsidRPr="00BB5ADD">
        <w:t>J</w:t>
      </w:r>
      <w:r w:rsidR="00870285" w:rsidRPr="00BB5ADD">
        <w:t xml:space="preserve">akob disease, </w:t>
      </w:r>
      <w:r w:rsidR="00511EDB" w:rsidRPr="00BB5ADD">
        <w:t xml:space="preserve">2) </w:t>
      </w:r>
      <w:r w:rsidR="006D727D" w:rsidRPr="00BB5ADD">
        <w:t xml:space="preserve">Myelitis, </w:t>
      </w:r>
      <w:r w:rsidR="00511EDB" w:rsidRPr="00BB5ADD">
        <w:t xml:space="preserve">3) </w:t>
      </w:r>
      <w:r w:rsidR="00870285" w:rsidRPr="00BB5ADD">
        <w:t xml:space="preserve">Myelitis </w:t>
      </w:r>
      <w:r w:rsidR="00B10EA2" w:rsidRPr="00BB5ADD">
        <w:t>t</w:t>
      </w:r>
      <w:r w:rsidR="00870285" w:rsidRPr="00BB5ADD">
        <w:t xml:space="preserve">ransverse, </w:t>
      </w:r>
      <w:r w:rsidR="00511EDB" w:rsidRPr="00BB5ADD">
        <w:t xml:space="preserve">4) </w:t>
      </w:r>
      <w:r w:rsidR="00870285" w:rsidRPr="00BB5ADD">
        <w:t xml:space="preserve">Noninfectious </w:t>
      </w:r>
      <w:r w:rsidR="00B10EA2" w:rsidRPr="00BB5ADD">
        <w:t>m</w:t>
      </w:r>
      <w:r w:rsidR="00870285" w:rsidRPr="00BB5ADD">
        <w:t xml:space="preserve">yelitis, </w:t>
      </w:r>
      <w:r w:rsidR="00511EDB" w:rsidRPr="00BB5ADD">
        <w:t xml:space="preserve">5) </w:t>
      </w:r>
      <w:r w:rsidR="006D727D" w:rsidRPr="00BB5ADD">
        <w:t xml:space="preserve">Poliomyelitis, </w:t>
      </w:r>
      <w:r w:rsidR="00511EDB" w:rsidRPr="00BB5ADD">
        <w:t xml:space="preserve">6) </w:t>
      </w:r>
      <w:r w:rsidR="006D727D" w:rsidRPr="00BB5ADD">
        <w:t xml:space="preserve">Post polio syndrome, </w:t>
      </w:r>
      <w:r w:rsidR="00511EDB" w:rsidRPr="00BB5ADD">
        <w:t xml:space="preserve">7) </w:t>
      </w:r>
      <w:r w:rsidR="006D727D" w:rsidRPr="00BB5ADD">
        <w:t xml:space="preserve">Prion disease, </w:t>
      </w:r>
      <w:r w:rsidR="00511EDB" w:rsidRPr="00BB5ADD">
        <w:t xml:space="preserve">8) </w:t>
      </w:r>
      <w:r w:rsidR="00870285" w:rsidRPr="00BB5ADD">
        <w:t xml:space="preserve">Vaccine </w:t>
      </w:r>
      <w:r w:rsidR="00B10EA2" w:rsidRPr="00BB5ADD">
        <w:t>a</w:t>
      </w:r>
      <w:r w:rsidR="00870285" w:rsidRPr="00BB5ADD">
        <w:t xml:space="preserve">ssociated </w:t>
      </w:r>
      <w:r w:rsidR="00B10EA2" w:rsidRPr="00BB5ADD">
        <w:t>p</w:t>
      </w:r>
      <w:r w:rsidR="00870285" w:rsidRPr="00BB5ADD">
        <w:t xml:space="preserve">aralytic </w:t>
      </w:r>
      <w:r w:rsidR="00B10EA2" w:rsidRPr="00BB5ADD">
        <w:t>p</w:t>
      </w:r>
      <w:r w:rsidR="00870285" w:rsidRPr="00BB5ADD">
        <w:t xml:space="preserve">oliomyelitis, </w:t>
      </w:r>
      <w:r w:rsidR="00B55C09" w:rsidRPr="00BB5ADD">
        <w:t xml:space="preserve">and </w:t>
      </w:r>
      <w:r w:rsidR="006C46B1" w:rsidRPr="00BB5ADD">
        <w:t xml:space="preserve">9) </w:t>
      </w:r>
      <w:r w:rsidR="006D727D" w:rsidRPr="00BB5ADD">
        <w:t>Viral myelitis</w:t>
      </w:r>
      <w:r w:rsidR="00B55C09" w:rsidRPr="00BB5ADD">
        <w:t>.</w:t>
      </w:r>
    </w:p>
    <w:p w14:paraId="3FD327CB" w14:textId="77777777" w:rsidR="00870285" w:rsidRPr="00BB5ADD" w:rsidRDefault="00870285" w:rsidP="00BB6939">
      <w:pPr>
        <w:spacing w:line="360" w:lineRule="auto"/>
      </w:pPr>
    </w:p>
    <w:p w14:paraId="6DFC31B3" w14:textId="0E9D2963" w:rsidR="00BB6939" w:rsidRPr="00BB5ADD" w:rsidRDefault="00BB6939" w:rsidP="00BB6939">
      <w:pPr>
        <w:spacing w:line="360" w:lineRule="auto"/>
      </w:pPr>
      <w:bookmarkStart w:id="0" w:name="_Hlk168305367"/>
      <w:r w:rsidRPr="00BB5ADD">
        <w:t>Using the AEs above, the VAERS database was analyzed from January 1,</w:t>
      </w:r>
      <w:r w:rsidR="00910F62" w:rsidRPr="00BB5ADD">
        <w:t xml:space="preserve"> </w:t>
      </w:r>
      <w:r w:rsidRPr="00BB5ADD">
        <w:t>1990</w:t>
      </w:r>
      <w:r w:rsidR="00DA1956" w:rsidRPr="00BB5ADD">
        <w:t>,</w:t>
      </w:r>
      <w:r w:rsidRPr="00BB5ADD">
        <w:t xml:space="preserve"> through </w:t>
      </w:r>
      <w:r w:rsidR="00700E97" w:rsidRPr="00BB5ADD">
        <w:t>November 30, 2024</w:t>
      </w:r>
      <w:r w:rsidR="00DA1956" w:rsidRPr="00BB5ADD">
        <w:t>,</w:t>
      </w:r>
      <w:r w:rsidRPr="00BB5ADD">
        <w:t xml:space="preserve"> thus yielding </w:t>
      </w:r>
      <w:r w:rsidR="00700E97" w:rsidRPr="00BB5ADD">
        <w:t>47</w:t>
      </w:r>
      <w:r w:rsidR="003E2C14" w:rsidRPr="00BB5ADD">
        <w:t xml:space="preserve"> </w:t>
      </w:r>
      <w:r w:rsidRPr="00BB5ADD">
        <w:t xml:space="preserve">months of COVID-19 vaccine data and </w:t>
      </w:r>
      <w:r w:rsidR="00700E97" w:rsidRPr="00BB5ADD">
        <w:t>419 months</w:t>
      </w:r>
      <w:r w:rsidRPr="00BB5ADD">
        <w:t xml:space="preserve"> for all other vaccines.</w:t>
      </w:r>
      <w:bookmarkEnd w:id="0"/>
      <w:r w:rsidRPr="00BB5ADD">
        <w:t xml:space="preserve"> Statistical analysis performed in </w:t>
      </w:r>
      <w:r w:rsidR="00973816" w:rsidRPr="00BB5ADD">
        <w:t xml:space="preserve">this study were based on Poisson distribution and Monte Carlo Simulations used in a </w:t>
      </w:r>
      <w:r w:rsidRPr="00BB5ADD">
        <w:t>previous publication</w:t>
      </w:r>
      <w:r w:rsidR="00E54F46" w:rsidRPr="00BB5ADD">
        <w:t xml:space="preserve"> and included </w:t>
      </w:r>
      <w:r w:rsidR="006A1E2E" w:rsidRPr="00BB5ADD">
        <w:t xml:space="preserve">odds </w:t>
      </w:r>
      <w:r w:rsidR="00E54F46" w:rsidRPr="00BB5ADD">
        <w:t>ratio (</w:t>
      </w:r>
      <w:r w:rsidR="006A1E2E" w:rsidRPr="00BB5ADD">
        <w:t>OR</w:t>
      </w:r>
      <w:r w:rsidR="00E54F46" w:rsidRPr="00BB5ADD">
        <w:t>) based on AEs per time, per dose</w:t>
      </w:r>
      <w:r w:rsidR="00DA1956" w:rsidRPr="00BB5ADD">
        <w:t xml:space="preserve"> number of a multiple vaccination schedule</w:t>
      </w:r>
      <w:r w:rsidR="00E54F46" w:rsidRPr="00BB5ADD">
        <w:t>, and per individual vaccinated</w:t>
      </w:r>
      <w:r w:rsidR="000D6998" w:rsidRPr="00BB5ADD">
        <w:t>.</w:t>
      </w:r>
      <w:r w:rsidR="00673A02" w:rsidRPr="00BB5ADD">
        <w:t xml:space="preserve"> </w:t>
      </w:r>
      <w:r w:rsidR="00D959C9" w:rsidRPr="00BB5ADD">
        <w:t>Because the</w:t>
      </w:r>
      <w:r w:rsidR="0094785E" w:rsidRPr="00BB5ADD">
        <w:t xml:space="preserve"> </w:t>
      </w:r>
      <w:r w:rsidR="00BA08E4" w:rsidRPr="00BB5ADD">
        <w:t xml:space="preserve">AE </w:t>
      </w:r>
      <w:r w:rsidR="0094785E" w:rsidRPr="00BB5ADD">
        <w:t>O</w:t>
      </w:r>
      <w:r w:rsidR="00890837" w:rsidRPr="00BB5ADD">
        <w:t>R</w:t>
      </w:r>
      <w:r w:rsidR="00BA08E4" w:rsidRPr="00BB5ADD">
        <w:t>s</w:t>
      </w:r>
      <w:r w:rsidR="00EE0E61" w:rsidRPr="00BB5ADD">
        <w:t xml:space="preserve"> per</w:t>
      </w:r>
      <w:r w:rsidRPr="00BB5ADD">
        <w:t xml:space="preserve"> </w:t>
      </w:r>
      <w:r w:rsidR="00D56CA5" w:rsidRPr="00BB5ADD">
        <w:t xml:space="preserve">inoculation </w:t>
      </w:r>
      <w:r w:rsidRPr="00BB5ADD">
        <w:t xml:space="preserve">and </w:t>
      </w:r>
      <w:r w:rsidR="00EE0E61" w:rsidRPr="00BB5ADD">
        <w:t>per</w:t>
      </w:r>
      <w:r w:rsidRPr="00BB5ADD">
        <w:t xml:space="preserve"> individual vaccinated were similar to </w:t>
      </w:r>
      <w:r w:rsidR="00890837" w:rsidRPr="00BB5ADD">
        <w:t>those</w:t>
      </w:r>
      <w:r w:rsidRPr="00BB5ADD">
        <w:t xml:space="preserve"> per time, these</w:t>
      </w:r>
      <w:r w:rsidR="004D62D6" w:rsidRPr="00BB5ADD">
        <w:t xml:space="preserve"> </w:t>
      </w:r>
      <w:r w:rsidRPr="00BB5ADD">
        <w:t>analytics were not repeated.</w:t>
      </w:r>
      <w:r w:rsidR="006A1E2E" w:rsidRPr="00BB5ADD">
        <w:rPr>
          <w:vertAlign w:val="superscript"/>
        </w:rPr>
        <w:t>7</w:t>
      </w:r>
      <w:r w:rsidR="00E54F46" w:rsidRPr="00BB5ADD">
        <w:t xml:space="preserve"> </w:t>
      </w:r>
    </w:p>
    <w:p w14:paraId="7F0B8D58" w14:textId="77777777" w:rsidR="00BB6939" w:rsidRPr="00BB5ADD" w:rsidRDefault="00BB6939" w:rsidP="00BB6939">
      <w:pPr>
        <w:spacing w:line="360" w:lineRule="auto"/>
      </w:pPr>
    </w:p>
    <w:p w14:paraId="6D5B9B36" w14:textId="05B9E94E" w:rsidR="00433B0A" w:rsidRPr="00BB5ADD" w:rsidRDefault="00BB6939" w:rsidP="008B3BF0">
      <w:pPr>
        <w:spacing w:line="360" w:lineRule="auto"/>
      </w:pPr>
      <w:r w:rsidRPr="00BB5ADD">
        <w:t xml:space="preserve">The AEs </w:t>
      </w:r>
      <w:r w:rsidR="0093210C" w:rsidRPr="00BB5ADD">
        <w:t>from the COVID-19 vaccine</w:t>
      </w:r>
      <w:r w:rsidR="00FC1C1D" w:rsidRPr="00BB5ADD">
        <w:t>s</w:t>
      </w:r>
      <w:r w:rsidR="0093210C" w:rsidRPr="00BB5ADD">
        <w:t xml:space="preserve"> </w:t>
      </w:r>
      <w:r w:rsidRPr="00BB5ADD">
        <w:t xml:space="preserve">were compared to those </w:t>
      </w:r>
      <w:r w:rsidR="0093210C" w:rsidRPr="00BB5ADD">
        <w:t>from</w:t>
      </w:r>
      <w:r w:rsidRPr="00BB5ADD">
        <w:t xml:space="preserve"> the influenza vaccines and to all vaccines</w:t>
      </w:r>
      <w:r w:rsidR="0093210C" w:rsidRPr="00BB5ADD">
        <w:t xml:space="preserve"> combined (except for the COVID-19 vaccine)</w:t>
      </w:r>
      <w:r w:rsidRPr="00BB5ADD">
        <w:t xml:space="preserve">.  </w:t>
      </w:r>
      <w:r w:rsidR="00511A6D" w:rsidRPr="00BB5ADD">
        <w:t xml:space="preserve"> </w:t>
      </w:r>
      <w:r w:rsidR="00C37FDA" w:rsidRPr="00BB5ADD">
        <w:t>Odds ratios</w:t>
      </w:r>
      <w:r w:rsidR="0093210C" w:rsidRPr="00BB5ADD">
        <w:t xml:space="preserve"> and 95% confidence intervals </w:t>
      </w:r>
      <w:r w:rsidR="00C37FDA" w:rsidRPr="00BB5ADD">
        <w:t xml:space="preserve">were reported </w:t>
      </w:r>
      <w:r w:rsidR="0093210C" w:rsidRPr="00BB5ADD">
        <w:t xml:space="preserve">using MedCalc statistical </w:t>
      </w:r>
      <w:r w:rsidR="00056F06" w:rsidRPr="00BB5ADD">
        <w:t>software</w:t>
      </w:r>
      <w:r w:rsidR="000D6998" w:rsidRPr="00BB5ADD">
        <w:t>.</w:t>
      </w:r>
      <w:r w:rsidR="00805C41" w:rsidRPr="00BB5ADD">
        <w:rPr>
          <w:vertAlign w:val="superscript"/>
        </w:rPr>
        <w:t xml:space="preserve">8 </w:t>
      </w:r>
      <w:r w:rsidR="008B3BF0" w:rsidRPr="00BB5ADD">
        <w:t>The Z-score is a statistical measurement that indicates how many standard deviations a data point is from the mean of a data set. It can be positive (above the mean) or negative (below the mean). The Z-score provides more detailed insight than a p-value in</w:t>
      </w:r>
      <w:r w:rsidR="00850C2A" w:rsidRPr="00BB5ADD">
        <w:t xml:space="preserve"> </w:t>
      </w:r>
      <w:r w:rsidR="008B3BF0" w:rsidRPr="00BB5ADD">
        <w:t>understanding the degree of deviation from an expected value within a given distribution. MedCalc® Statistical Software version 23.1.5 reports p-values as &lt; 0.0001 or as a specific number if the p-value is ≥ 0.0001.</w:t>
      </w:r>
    </w:p>
    <w:p w14:paraId="18BEC826" w14:textId="77777777" w:rsidR="002F1F40" w:rsidRPr="00BB5ADD" w:rsidRDefault="002F1F40" w:rsidP="004E7C4A"/>
    <w:p w14:paraId="2639ECB1" w14:textId="709083D4" w:rsidR="006270CB" w:rsidRPr="00BB5ADD" w:rsidRDefault="006270CB" w:rsidP="00CF3785">
      <w:pPr>
        <w:spacing w:line="360" w:lineRule="auto"/>
        <w:jc w:val="center"/>
        <w:rPr>
          <w:b/>
          <w:bCs/>
        </w:rPr>
      </w:pPr>
      <w:r w:rsidRPr="00BB5ADD">
        <w:rPr>
          <w:b/>
          <w:bCs/>
        </w:rPr>
        <w:t>Results</w:t>
      </w:r>
    </w:p>
    <w:p w14:paraId="0E26B60E" w14:textId="77777777" w:rsidR="00337378" w:rsidRPr="00BB5ADD" w:rsidRDefault="00337378" w:rsidP="004E7C4A">
      <w:pPr>
        <w:rPr>
          <w:b/>
          <w:bCs/>
        </w:rPr>
      </w:pPr>
    </w:p>
    <w:p w14:paraId="1BB2CC50" w14:textId="3DF3E1D6" w:rsidR="00471F19" w:rsidRPr="00BB5ADD" w:rsidRDefault="001019ED" w:rsidP="00337378">
      <w:pPr>
        <w:spacing w:line="360" w:lineRule="auto"/>
      </w:pPr>
      <w:r w:rsidRPr="00BB5ADD">
        <w:t xml:space="preserve">The authors grouped the VAERS LLTs to be studied into four categories as portrayed in </w:t>
      </w:r>
      <w:r w:rsidR="00C56B49" w:rsidRPr="00BB5ADD">
        <w:t>Tables 1-4</w:t>
      </w:r>
      <w:r w:rsidRPr="00BB5ADD">
        <w:t xml:space="preserve"> below:</w:t>
      </w:r>
      <w:r w:rsidR="00CB0965" w:rsidRPr="00BB5ADD">
        <w:t xml:space="preserve"> </w:t>
      </w:r>
      <w:r w:rsidR="00DA1956" w:rsidRPr="00BB5ADD">
        <w:t>CNS</w:t>
      </w:r>
      <w:r w:rsidR="00CB0965" w:rsidRPr="00BB5ADD">
        <w:t xml:space="preserve"> </w:t>
      </w:r>
      <w:r w:rsidR="00B10EA2" w:rsidRPr="00BB5ADD">
        <w:t>infection</w:t>
      </w:r>
      <w:r w:rsidR="00CB0965" w:rsidRPr="00BB5ADD">
        <w:t xml:space="preserve"> LLTs (</w:t>
      </w:r>
      <w:r w:rsidR="00147A7B" w:rsidRPr="00BB5ADD">
        <w:t>n=</w:t>
      </w:r>
      <w:r w:rsidR="006C46B1" w:rsidRPr="00BB5ADD">
        <w:t>39</w:t>
      </w:r>
      <w:r w:rsidR="00C56B49" w:rsidRPr="00BB5ADD">
        <w:t xml:space="preserve">), </w:t>
      </w:r>
      <w:r w:rsidR="00970E34">
        <w:t>h</w:t>
      </w:r>
      <w:r w:rsidR="006D727D" w:rsidRPr="00BB5ADD">
        <w:t xml:space="preserve">erpetic </w:t>
      </w:r>
      <w:r w:rsidR="00DA1956" w:rsidRPr="00BB5ADD">
        <w:t xml:space="preserve">CNS </w:t>
      </w:r>
      <w:r w:rsidR="00C56B49" w:rsidRPr="00BB5ADD">
        <w:t>infection LLTs (</w:t>
      </w:r>
      <w:r w:rsidR="00DA1956" w:rsidRPr="00BB5ADD">
        <w:t>n=</w:t>
      </w:r>
      <w:r w:rsidR="00C56B49" w:rsidRPr="00BB5ADD">
        <w:t xml:space="preserve">11), </w:t>
      </w:r>
      <w:r w:rsidR="00DA1956" w:rsidRPr="00BB5ADD">
        <w:t xml:space="preserve">CNS </w:t>
      </w:r>
      <w:r w:rsidR="00C56B49" w:rsidRPr="00BB5ADD">
        <w:t>abscess LLTs (</w:t>
      </w:r>
      <w:r w:rsidR="00D623F8" w:rsidRPr="00BB5ADD">
        <w:t>n=</w:t>
      </w:r>
      <w:r w:rsidR="00C56B49" w:rsidRPr="00BB5ADD">
        <w:t xml:space="preserve">4) and </w:t>
      </w:r>
      <w:r w:rsidR="006A1E2E" w:rsidRPr="00BB5ADD">
        <w:t xml:space="preserve">Uncommon </w:t>
      </w:r>
      <w:r w:rsidR="00602F41" w:rsidRPr="00BB5ADD">
        <w:t xml:space="preserve">neurological </w:t>
      </w:r>
      <w:r w:rsidR="00B10EA2" w:rsidRPr="00BB5ADD">
        <w:t>d</w:t>
      </w:r>
      <w:r w:rsidR="00C56B49" w:rsidRPr="00BB5ADD">
        <w:t>isease LLTs (</w:t>
      </w:r>
      <w:r w:rsidR="00D623F8" w:rsidRPr="00BB5ADD">
        <w:t>n=</w:t>
      </w:r>
      <w:r w:rsidR="00C56B49" w:rsidRPr="00BB5ADD">
        <w:t xml:space="preserve">9), respectively. </w:t>
      </w:r>
    </w:p>
    <w:p w14:paraId="7B12B47D" w14:textId="77777777" w:rsidR="00471F19" w:rsidRPr="00BB5ADD" w:rsidRDefault="00471F19" w:rsidP="00471F19">
      <w:pPr>
        <w:rPr>
          <w:b/>
          <w:bCs/>
        </w:rPr>
      </w:pPr>
    </w:p>
    <w:p w14:paraId="58D08732" w14:textId="23711C15" w:rsidR="00CF3785" w:rsidRPr="001A525C" w:rsidRDefault="00471F19" w:rsidP="00D152A2">
      <w:pPr>
        <w:spacing w:line="360" w:lineRule="auto"/>
      </w:pPr>
      <w:r w:rsidRPr="00BB5ADD">
        <w:t xml:space="preserve">As exhibited in Tables </w:t>
      </w:r>
      <w:r w:rsidR="00B371D9" w:rsidRPr="00BB5ADD">
        <w:t>1-4</w:t>
      </w:r>
      <w:r w:rsidRPr="00BB5ADD">
        <w:t>, notable safety concerns as defined by the CDC/FDA</w:t>
      </w:r>
      <w:r w:rsidR="00561A8F" w:rsidRPr="00BB5ADD">
        <w:t xml:space="preserve"> with a</w:t>
      </w:r>
      <w:r w:rsidR="00BA4802" w:rsidRPr="00BB5ADD">
        <w:t>n</w:t>
      </w:r>
      <w:r w:rsidRPr="00BB5ADD">
        <w:t xml:space="preserve"> </w:t>
      </w:r>
      <w:r w:rsidR="006A1E2E" w:rsidRPr="00BB5ADD">
        <w:t>OR</w:t>
      </w:r>
      <w:r w:rsidRPr="00BB5ADD">
        <w:t xml:space="preserve"> </w:t>
      </w:r>
      <w:r w:rsidR="00BA4802" w:rsidRPr="00BB5ADD">
        <w:t>of</w:t>
      </w:r>
      <w:r w:rsidRPr="00BB5ADD">
        <w:t xml:space="preserve"> 2</w:t>
      </w:r>
      <w:r w:rsidR="00D35DB0" w:rsidRPr="00BB5ADD">
        <w:t xml:space="preserve"> or greater</w:t>
      </w:r>
      <w:r w:rsidRPr="00BB5ADD">
        <w:t xml:space="preserve"> were present for </w:t>
      </w:r>
      <w:r w:rsidR="001A3690">
        <w:t>CNS infections</w:t>
      </w:r>
      <w:r w:rsidRPr="00BB5ADD">
        <w:t xml:space="preserve"> as reported in VAERS. These safety concerns included C</w:t>
      </w:r>
      <w:r w:rsidR="00D623F8" w:rsidRPr="00BB5ADD">
        <w:t>NS</w:t>
      </w:r>
      <w:r w:rsidR="004F451F" w:rsidRPr="00BB5ADD">
        <w:t xml:space="preserve"> </w:t>
      </w:r>
      <w:r w:rsidRPr="00BB5ADD">
        <w:t xml:space="preserve">infections, </w:t>
      </w:r>
      <w:r w:rsidR="00970E34">
        <w:t>h</w:t>
      </w:r>
      <w:r w:rsidR="006D727D" w:rsidRPr="00BB5ADD">
        <w:t>erpetic CNS infection</w:t>
      </w:r>
      <w:r w:rsidRPr="00BB5ADD">
        <w:t xml:space="preserve">, </w:t>
      </w:r>
      <w:r w:rsidR="00D623F8" w:rsidRPr="00BB5ADD">
        <w:t xml:space="preserve">CNS </w:t>
      </w:r>
      <w:r w:rsidRPr="00BB5ADD">
        <w:t xml:space="preserve">abscess and </w:t>
      </w:r>
      <w:r w:rsidR="004F451F" w:rsidRPr="00BB5ADD">
        <w:t xml:space="preserve">a separate category for </w:t>
      </w:r>
      <w:r w:rsidR="006A1E2E" w:rsidRPr="00BB5ADD">
        <w:t>Uncommon</w:t>
      </w:r>
      <w:r w:rsidRPr="00BB5ADD">
        <w:t xml:space="preserve"> </w:t>
      </w:r>
      <w:r w:rsidR="00602F41" w:rsidRPr="00BB5ADD">
        <w:t xml:space="preserve">neurological </w:t>
      </w:r>
      <w:r w:rsidRPr="00BB5ADD">
        <w:t>disease</w:t>
      </w:r>
      <w:r w:rsidR="004F451F" w:rsidRPr="00BB5ADD">
        <w:t>s</w:t>
      </w:r>
      <w:r w:rsidR="00106306" w:rsidRPr="00BB5ADD">
        <w:t>.</w:t>
      </w:r>
      <w:r w:rsidR="00AF5291" w:rsidRPr="00BB5ADD">
        <w:t xml:space="preserve"> A full listing of all symptoms extracted from the VAERS system</w:t>
      </w:r>
      <w:r w:rsidR="00106306" w:rsidRPr="00BB5ADD">
        <w:t xml:space="preserve"> and </w:t>
      </w:r>
      <w:r w:rsidR="006A1E2E" w:rsidRPr="00BB5ADD">
        <w:t>OR</w:t>
      </w:r>
      <w:r w:rsidR="00106306" w:rsidRPr="00BB5ADD">
        <w:t>s for the COVID-19 vaccine, Influenza vaccine, and all vaccines combined</w:t>
      </w:r>
      <w:r w:rsidR="00AF5291" w:rsidRPr="00BB5ADD">
        <w:t xml:space="preserve"> are </w:t>
      </w:r>
      <w:r w:rsidR="00AF5291" w:rsidRPr="00BB5ADD">
        <w:lastRenderedPageBreak/>
        <w:t xml:space="preserve">listed in </w:t>
      </w:r>
      <w:r w:rsidR="00106306" w:rsidRPr="00BB5ADD">
        <w:t>Tables 1-4</w:t>
      </w:r>
      <w:r w:rsidR="00A67572" w:rsidRPr="00BB5ADD">
        <w:t xml:space="preserve"> and all symptom titles are written exactly as included in VAERS</w:t>
      </w:r>
      <w:r w:rsidR="00AF5291" w:rsidRPr="00BB5ADD">
        <w:t xml:space="preserve">. </w:t>
      </w:r>
      <w:r w:rsidR="003428DF" w:rsidRPr="00BB5ADD">
        <w:t xml:space="preserve">Two of the </w:t>
      </w:r>
      <w:r w:rsidR="00BA2AD4" w:rsidRPr="00BB5ADD">
        <w:t>39</w:t>
      </w:r>
      <w:r w:rsidR="003B2A0D" w:rsidRPr="00BB5ADD">
        <w:t xml:space="preserve"> LLT’s in Table 1 and</w:t>
      </w:r>
      <w:r w:rsidR="00BC1F17" w:rsidRPr="00BB5ADD">
        <w:t xml:space="preserve"> </w:t>
      </w:r>
      <w:r w:rsidR="007023F7">
        <w:t>two</w:t>
      </w:r>
      <w:r w:rsidR="00BC1F17" w:rsidRPr="00BB5ADD">
        <w:t xml:space="preserve"> of the </w:t>
      </w:r>
      <w:r w:rsidR="003B2A0D" w:rsidRPr="00BB5ADD">
        <w:t xml:space="preserve">9 LLT’s in Table 4 </w:t>
      </w:r>
      <w:r w:rsidR="006C5EB0" w:rsidRPr="00BB5ADD">
        <w:t>did not achieve statistical significance (</w:t>
      </w:r>
      <w:r w:rsidR="00D152A2" w:rsidRPr="00BB5ADD">
        <w:t>p-value greater than 0.05</w:t>
      </w:r>
      <w:r w:rsidR="00092E2E">
        <w:t>)</w:t>
      </w:r>
      <w:r w:rsidR="00D152A2" w:rsidRPr="00BB5ADD">
        <w:t xml:space="preserve">.  </w:t>
      </w:r>
    </w:p>
    <w:p w14:paraId="06FC996B" w14:textId="77777777" w:rsidR="00BB5ADD" w:rsidRDefault="00BB5ADD" w:rsidP="00CF3785">
      <w:pPr>
        <w:spacing w:line="360" w:lineRule="auto"/>
        <w:rPr>
          <w:b/>
          <w:bCs/>
          <w:i/>
          <w:iCs/>
        </w:rPr>
      </w:pPr>
    </w:p>
    <w:p w14:paraId="741009DA" w14:textId="22376056" w:rsidR="00471F19" w:rsidRPr="00BB5ADD" w:rsidRDefault="003A0DDE" w:rsidP="00BB5ADD">
      <w:pPr>
        <w:spacing w:line="360" w:lineRule="auto"/>
      </w:pPr>
      <w:r w:rsidRPr="00BB5ADD">
        <w:rPr>
          <w:b/>
          <w:bCs/>
          <w:i/>
          <w:iCs/>
        </w:rPr>
        <w:t xml:space="preserve">Findings </w:t>
      </w:r>
      <w:r w:rsidR="00147A7B" w:rsidRPr="00BB5ADD">
        <w:rPr>
          <w:b/>
          <w:bCs/>
          <w:i/>
          <w:iCs/>
        </w:rPr>
        <w:t>R</w:t>
      </w:r>
      <w:r w:rsidRPr="00BB5ADD">
        <w:rPr>
          <w:b/>
          <w:bCs/>
          <w:i/>
          <w:iCs/>
        </w:rPr>
        <w:t>elated to C</w:t>
      </w:r>
      <w:r w:rsidR="00147A7B" w:rsidRPr="00BB5ADD">
        <w:rPr>
          <w:b/>
          <w:bCs/>
          <w:i/>
          <w:iCs/>
        </w:rPr>
        <w:t>NS</w:t>
      </w:r>
      <w:r w:rsidRPr="00BB5ADD">
        <w:rPr>
          <w:b/>
          <w:bCs/>
          <w:i/>
          <w:iCs/>
        </w:rPr>
        <w:t xml:space="preserve"> </w:t>
      </w:r>
      <w:r w:rsidR="00147A7B" w:rsidRPr="00BB5ADD">
        <w:rPr>
          <w:b/>
          <w:bCs/>
          <w:i/>
          <w:iCs/>
        </w:rPr>
        <w:t>I</w:t>
      </w:r>
      <w:r w:rsidRPr="00BB5ADD">
        <w:rPr>
          <w:b/>
          <w:bCs/>
          <w:i/>
          <w:iCs/>
        </w:rPr>
        <w:t>nfection</w:t>
      </w:r>
    </w:p>
    <w:p w14:paraId="1EEC9F60" w14:textId="19836B0E" w:rsidR="00666519" w:rsidRPr="00BB5ADD" w:rsidRDefault="00666519" w:rsidP="00337378">
      <w:pPr>
        <w:spacing w:line="360" w:lineRule="auto"/>
      </w:pPr>
      <w:r w:rsidRPr="00BB5ADD">
        <w:t xml:space="preserve">In total, there were </w:t>
      </w:r>
      <w:r w:rsidR="005E6889" w:rsidRPr="00BB5ADD">
        <w:t>39</w:t>
      </w:r>
      <w:r w:rsidRPr="00BB5ADD">
        <w:t xml:space="preserve"> lower-level terms (LLT) identified </w:t>
      </w:r>
      <w:r w:rsidR="00323F46" w:rsidRPr="00BB5ADD">
        <w:t xml:space="preserve">in VAERS </w:t>
      </w:r>
      <w:r w:rsidRPr="00BB5ADD">
        <w:t xml:space="preserve">as correlated to </w:t>
      </w:r>
      <w:r w:rsidR="007023F7">
        <w:t>CNS</w:t>
      </w:r>
      <w:r w:rsidR="00323F46" w:rsidRPr="00BB5ADD">
        <w:t xml:space="preserve"> infection.</w:t>
      </w:r>
      <w:r w:rsidR="00602E8B" w:rsidRPr="00BB5ADD">
        <w:t xml:space="preserve"> </w:t>
      </w:r>
      <w:r w:rsidR="00602E8B" w:rsidRPr="001A525C">
        <w:t xml:space="preserve">Data are expressed as OR, CI, p-value, Z-score. </w:t>
      </w:r>
      <w:r w:rsidR="00323F46" w:rsidRPr="00BB5ADD">
        <w:t xml:space="preserve"> In total</w:t>
      </w:r>
      <w:r w:rsidR="00AF5291" w:rsidRPr="00BB5ADD">
        <w:t xml:space="preserve"> all </w:t>
      </w:r>
      <w:r w:rsidR="005E6889" w:rsidRPr="00BB5ADD">
        <w:t>39</w:t>
      </w:r>
      <w:r w:rsidR="00AF5291" w:rsidRPr="00BB5ADD">
        <w:t xml:space="preserve"> LLTs combined was </w:t>
      </w:r>
      <w:r w:rsidR="008C7CDA" w:rsidRPr="00BB5ADD">
        <w:t>29.</w:t>
      </w:r>
      <w:r w:rsidR="00E23387" w:rsidRPr="00BB5ADD">
        <w:t>4</w:t>
      </w:r>
      <w:r w:rsidR="001A1905" w:rsidRPr="00BB5ADD">
        <w:t>,</w:t>
      </w:r>
      <w:r w:rsidR="008C7CDA" w:rsidRPr="00BB5ADD">
        <w:t xml:space="preserve"> 21.6-40.</w:t>
      </w:r>
      <w:r w:rsidR="00E23387" w:rsidRPr="00BB5ADD">
        <w:t>1</w:t>
      </w:r>
      <w:r w:rsidR="008C7CDA" w:rsidRPr="00BB5ADD">
        <w:t>, &lt;0.0001, 21.4</w:t>
      </w:r>
      <w:r w:rsidR="00AF5291" w:rsidRPr="00BB5ADD">
        <w:t xml:space="preserve"> when the COVID-19 vaccines were compared to influenza vaccines</w:t>
      </w:r>
      <w:r w:rsidR="00FD24AF" w:rsidRPr="00BB5ADD">
        <w:t xml:space="preserve"> and</w:t>
      </w:r>
      <w:r w:rsidR="00AF5291" w:rsidRPr="00BB5ADD">
        <w:t xml:space="preserve"> </w:t>
      </w:r>
      <w:r w:rsidR="008C7CDA" w:rsidRPr="00BB5ADD">
        <w:t>4.11</w:t>
      </w:r>
      <w:r w:rsidR="00FF1762" w:rsidRPr="00BB5ADD">
        <w:t>,</w:t>
      </w:r>
      <w:r w:rsidR="008C7CDA" w:rsidRPr="00BB5ADD">
        <w:t xml:space="preserve"> 3.03-5.5</w:t>
      </w:r>
      <w:r w:rsidR="00CD6B2A" w:rsidRPr="00BB5ADD">
        <w:t>7</w:t>
      </w:r>
      <w:r w:rsidR="008C7CDA" w:rsidRPr="00BB5ADD">
        <w:t>, &lt;0.0001, 9.0</w:t>
      </w:r>
      <w:r w:rsidR="00CD6B2A" w:rsidRPr="00BB5ADD">
        <w:t>9</w:t>
      </w:r>
      <w:r w:rsidR="00AF5291" w:rsidRPr="00BB5ADD">
        <w:t xml:space="preserve"> when the COVID-19 vaccines were compared to all other vaccines combined.</w:t>
      </w:r>
      <w:r w:rsidR="00106306" w:rsidRPr="00BB5ADD">
        <w:t xml:space="preserve"> Some </w:t>
      </w:r>
      <w:r w:rsidR="00FD24AF" w:rsidRPr="00BB5ADD">
        <w:t xml:space="preserve">specific LLT </w:t>
      </w:r>
      <w:r w:rsidR="006A1E2E" w:rsidRPr="00BB5ADD">
        <w:t>OR</w:t>
      </w:r>
      <w:r w:rsidR="00FD24AF" w:rsidRPr="00BB5ADD">
        <w:t xml:space="preserve">s in the </w:t>
      </w:r>
      <w:r w:rsidR="00106306" w:rsidRPr="00BB5ADD">
        <w:t xml:space="preserve">CNS </w:t>
      </w:r>
      <w:r w:rsidR="005E7255" w:rsidRPr="00BB5ADD">
        <w:t>i</w:t>
      </w:r>
      <w:r w:rsidR="00106306" w:rsidRPr="00BB5ADD">
        <w:t>nfection</w:t>
      </w:r>
      <w:r w:rsidR="00FD24AF" w:rsidRPr="00BB5ADD">
        <w:t xml:space="preserve"> grouping</w:t>
      </w:r>
      <w:r w:rsidR="00106306" w:rsidRPr="00BB5ADD">
        <w:t xml:space="preserve"> include:</w:t>
      </w:r>
    </w:p>
    <w:p w14:paraId="09E23298" w14:textId="607B4DC0" w:rsidR="005F49CE" w:rsidRPr="00BB5ADD" w:rsidRDefault="005F49CE" w:rsidP="005F49CE">
      <w:pPr>
        <w:pStyle w:val="ListParagraph"/>
        <w:numPr>
          <w:ilvl w:val="0"/>
          <w:numId w:val="8"/>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Bickerstaff's encephalitis: 68.3</w:t>
      </w:r>
      <w:r w:rsidR="00FF1762"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19.8-236, &lt;0.0001, 6.68 and 41.0</w:t>
      </w:r>
      <w:r w:rsidR="00315543"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14.9-113, &lt;0.0001, 7.19</w:t>
      </w:r>
    </w:p>
    <w:p w14:paraId="0B276173" w14:textId="5423995F" w:rsidR="00FD24AF" w:rsidRPr="00BB5ADD" w:rsidRDefault="00FD24AF" w:rsidP="00B55C09">
      <w:pPr>
        <w:pStyle w:val="ListParagraph"/>
        <w:numPr>
          <w:ilvl w:val="0"/>
          <w:numId w:val="8"/>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 xml:space="preserve">CNS </w:t>
      </w:r>
      <w:r w:rsidR="00041D05" w:rsidRPr="00BB5ADD">
        <w:rPr>
          <w:rFonts w:ascii="Times New Roman" w:eastAsia="Times New Roman" w:hAnsi="Times New Roman" w:cs="Times New Roman"/>
          <w:kern w:val="0"/>
          <w14:ligatures w14:val="none"/>
        </w:rPr>
        <w:t>v</w:t>
      </w:r>
      <w:r w:rsidRPr="00BB5ADD">
        <w:rPr>
          <w:rFonts w:ascii="Times New Roman" w:eastAsia="Times New Roman" w:hAnsi="Times New Roman" w:cs="Times New Roman"/>
          <w:kern w:val="0"/>
          <w14:ligatures w14:val="none"/>
        </w:rPr>
        <w:t>entriculitis: 97.1</w:t>
      </w:r>
      <w:r w:rsidR="002C5037"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5.29-1780, =0.0021, 3.08 and 11.1 (2.89-42.9, =0.0005, 3.50</w:t>
      </w:r>
    </w:p>
    <w:p w14:paraId="1A96E644" w14:textId="701A3770" w:rsidR="00FD24AF" w:rsidRPr="00BB5ADD" w:rsidRDefault="00FD24AF" w:rsidP="00106306">
      <w:pPr>
        <w:pStyle w:val="ListParagraph"/>
        <w:numPr>
          <w:ilvl w:val="0"/>
          <w:numId w:val="8"/>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 xml:space="preserve">CSF white blood cell count: </w:t>
      </w:r>
      <w:r w:rsidR="009443DE" w:rsidRPr="00BB5ADD">
        <w:rPr>
          <w:rFonts w:ascii="Times New Roman" w:eastAsia="Times New Roman" w:hAnsi="Times New Roman" w:cs="Times New Roman"/>
          <w:kern w:val="0"/>
          <w14:ligatures w14:val="none"/>
        </w:rPr>
        <w:t>273</w:t>
      </w:r>
      <w:r w:rsidR="003E7C1E" w:rsidRPr="00BB5ADD">
        <w:rPr>
          <w:rFonts w:ascii="Times New Roman" w:eastAsia="Times New Roman" w:hAnsi="Times New Roman" w:cs="Times New Roman"/>
          <w:kern w:val="0"/>
          <w14:ligatures w14:val="none"/>
        </w:rPr>
        <w:t>,</w:t>
      </w:r>
      <w:r w:rsidR="009443DE" w:rsidRPr="00BB5ADD">
        <w:rPr>
          <w:rFonts w:ascii="Times New Roman" w:eastAsia="Times New Roman" w:hAnsi="Times New Roman" w:cs="Times New Roman"/>
          <w:kern w:val="0"/>
          <w14:ligatures w14:val="none"/>
        </w:rPr>
        <w:t xml:space="preserve"> 127-587, &lt;0.0001, 14.4 and 37.7</w:t>
      </w:r>
      <w:r w:rsidR="003E7C1E" w:rsidRPr="00BB5ADD">
        <w:rPr>
          <w:rFonts w:ascii="Times New Roman" w:eastAsia="Times New Roman" w:hAnsi="Times New Roman" w:cs="Times New Roman"/>
          <w:kern w:val="0"/>
          <w14:ligatures w14:val="none"/>
        </w:rPr>
        <w:t>,</w:t>
      </w:r>
      <w:r w:rsidR="009443DE" w:rsidRPr="00BB5ADD">
        <w:rPr>
          <w:rFonts w:ascii="Times New Roman" w:eastAsia="Times New Roman" w:hAnsi="Times New Roman" w:cs="Times New Roman"/>
          <w:kern w:val="0"/>
          <w14:ligatures w14:val="none"/>
        </w:rPr>
        <w:t xml:space="preserve"> 24.8-57.1, &lt;0.0001, 17.1</w:t>
      </w:r>
    </w:p>
    <w:p w14:paraId="18DC26A2" w14:textId="719B8B48" w:rsidR="009443DE" w:rsidRPr="00BB5ADD" w:rsidRDefault="009443DE" w:rsidP="00106306">
      <w:pPr>
        <w:pStyle w:val="ListParagraph"/>
        <w:numPr>
          <w:ilvl w:val="0"/>
          <w:numId w:val="8"/>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 xml:space="preserve">Encephalitis </w:t>
      </w:r>
      <w:r w:rsidR="009A05FA" w:rsidRPr="00BB5ADD">
        <w:rPr>
          <w:rFonts w:ascii="Times New Roman" w:eastAsia="Times New Roman" w:hAnsi="Times New Roman" w:cs="Times New Roman"/>
          <w:kern w:val="0"/>
          <w14:ligatures w14:val="none"/>
        </w:rPr>
        <w:t>a</w:t>
      </w:r>
      <w:r w:rsidRPr="00BB5ADD">
        <w:rPr>
          <w:rFonts w:ascii="Times New Roman" w:eastAsia="Times New Roman" w:hAnsi="Times New Roman" w:cs="Times New Roman"/>
          <w:kern w:val="0"/>
          <w14:ligatures w14:val="none"/>
        </w:rPr>
        <w:t>utoimmune: 78.9</w:t>
      </w:r>
      <w:r w:rsidR="00F210F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45.4-137, &lt;0.0001, 15.5 and 14.9</w:t>
      </w:r>
      <w:r w:rsidR="00F210F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10.1-21.9, &lt;0.0001, 13.7</w:t>
      </w:r>
    </w:p>
    <w:p w14:paraId="665F797D" w14:textId="7E0F5727" w:rsidR="009443DE" w:rsidRPr="00BB5ADD" w:rsidRDefault="009443DE" w:rsidP="00106306">
      <w:pPr>
        <w:pStyle w:val="ListParagraph"/>
        <w:numPr>
          <w:ilvl w:val="0"/>
          <w:numId w:val="8"/>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Limbic encephalitis: 146</w:t>
      </w:r>
      <w:r w:rsidR="00F210F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43.7-485, &lt;0.0001, 8.11 and 87.4</w:t>
      </w:r>
      <w:r w:rsidR="00F210F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33.2-230, &lt;0.0001, 9.05</w:t>
      </w:r>
    </w:p>
    <w:p w14:paraId="1CF404F7" w14:textId="7D6DAD6E" w:rsidR="005F49CE" w:rsidRPr="00BB5ADD" w:rsidRDefault="005F49CE" w:rsidP="005F49CE">
      <w:pPr>
        <w:pStyle w:val="ListParagraph"/>
        <w:numPr>
          <w:ilvl w:val="0"/>
          <w:numId w:val="8"/>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Meningoradiculitis: 80.2</w:t>
      </w:r>
      <w:r w:rsidR="00F210F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18.1-357, &lt;0.0001, 5.76 and 16.0</w:t>
      </w:r>
      <w:r w:rsidR="00EC1ABB"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7.00-36.8, &lt;0.0001, 6.56</w:t>
      </w:r>
    </w:p>
    <w:p w14:paraId="002F070B" w14:textId="5A1CD1EC" w:rsidR="005F49CE" w:rsidRPr="00BB5ADD" w:rsidRDefault="005F49CE" w:rsidP="005F49CE">
      <w:pPr>
        <w:pStyle w:val="ListParagraph"/>
        <w:numPr>
          <w:ilvl w:val="0"/>
          <w:numId w:val="8"/>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Neuroborreliosis: 321</w:t>
      </w:r>
      <w:r w:rsidR="004C5EBB"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43.0-2390, &lt;0.0001, 5.63 and 35.7</w:t>
      </w:r>
      <w:r w:rsidR="004C5EBB"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16.2-78.6, &lt;0.0001, 8.87</w:t>
      </w:r>
    </w:p>
    <w:p w14:paraId="737A1026" w14:textId="7A52D66A" w:rsidR="005F49CE" w:rsidRPr="00BB5ADD" w:rsidRDefault="005F49CE" w:rsidP="00B55C09">
      <w:pPr>
        <w:pStyle w:val="ListParagraph"/>
        <w:numPr>
          <w:ilvl w:val="0"/>
          <w:numId w:val="8"/>
        </w:numPr>
      </w:pPr>
      <w:r w:rsidRPr="00BB5ADD">
        <w:rPr>
          <w:rFonts w:ascii="Times New Roman" w:eastAsia="Times New Roman" w:hAnsi="Times New Roman" w:cs="Times New Roman"/>
          <w:kern w:val="0"/>
          <w14:ligatures w14:val="none"/>
        </w:rPr>
        <w:t>Neurosyphilis: 44.6</w:t>
      </w:r>
      <w:r w:rsidR="004C5EBB"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5.10-390, =0.0006, 3.43 and 11.1</w:t>
      </w:r>
      <w:r w:rsidR="004C5EBB"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2.89-42.9, =0.0005, 3.50</w:t>
      </w:r>
    </w:p>
    <w:p w14:paraId="1B06D38C" w14:textId="2991BF23" w:rsidR="009443DE" w:rsidRPr="00BB5ADD" w:rsidRDefault="009443DE" w:rsidP="00106306">
      <w:pPr>
        <w:pStyle w:val="ListParagraph"/>
        <w:numPr>
          <w:ilvl w:val="0"/>
          <w:numId w:val="8"/>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Noninfective encephalitis: 74.5</w:t>
      </w:r>
      <w:r w:rsidR="00D77E77"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41.4-134, &lt;0.0001,</w:t>
      </w:r>
      <w:r w:rsidR="001F6721" w:rsidRPr="00BB5ADD">
        <w:rPr>
          <w:rFonts w:ascii="Times New Roman" w:eastAsia="Times New Roman" w:hAnsi="Times New Roman" w:cs="Times New Roman"/>
          <w:kern w:val="0"/>
          <w14:ligatures w14:val="none"/>
        </w:rPr>
        <w:t xml:space="preserve"> </w:t>
      </w:r>
      <w:r w:rsidRPr="00BB5ADD">
        <w:rPr>
          <w:rFonts w:ascii="Times New Roman" w:eastAsia="Times New Roman" w:hAnsi="Times New Roman" w:cs="Times New Roman"/>
          <w:kern w:val="0"/>
          <w14:ligatures w14:val="none"/>
        </w:rPr>
        <w:t>14.4 and 12.7</w:t>
      </w:r>
      <w:r w:rsidR="00D77E77"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8.52-18.8, &lt;0.0001, 12.6</w:t>
      </w:r>
    </w:p>
    <w:p w14:paraId="432044AB" w14:textId="3FBECD7E" w:rsidR="005F49CE" w:rsidRPr="00BB5ADD" w:rsidRDefault="005F49CE" w:rsidP="005F49CE">
      <w:pPr>
        <w:pStyle w:val="ListParagraph"/>
        <w:numPr>
          <w:ilvl w:val="0"/>
          <w:numId w:val="8"/>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Pachymeningitis: 152 (19.7-1160), &lt;0.0001, 4.83 and 30.3</w:t>
      </w:r>
      <w:r w:rsidR="00A53851" w:rsidRPr="00BB5ADD">
        <w:rPr>
          <w:rFonts w:ascii="Times New Roman" w:eastAsia="Times New Roman" w:hAnsi="Times New Roman" w:cs="Times New Roman"/>
          <w:kern w:val="0"/>
          <w14:ligatures w14:val="none"/>
        </w:rPr>
        <w:t xml:space="preserve">, </w:t>
      </w:r>
      <w:r w:rsidRPr="00BB5ADD">
        <w:rPr>
          <w:rFonts w:ascii="Times New Roman" w:eastAsia="Times New Roman" w:hAnsi="Times New Roman" w:cs="Times New Roman"/>
          <w:kern w:val="0"/>
          <w14:ligatures w14:val="none"/>
        </w:rPr>
        <w:t>10.7-85.9), &lt;0.0001, 6.42</w:t>
      </w:r>
    </w:p>
    <w:p w14:paraId="702E6E95" w14:textId="2099E110" w:rsidR="005F49CE" w:rsidRPr="00BB5ADD" w:rsidRDefault="005F49CE" w:rsidP="00B55C09">
      <w:pPr>
        <w:pStyle w:val="ListParagraph"/>
        <w:numPr>
          <w:ilvl w:val="0"/>
          <w:numId w:val="8"/>
        </w:numPr>
      </w:pPr>
      <w:r w:rsidRPr="00BB5ADD">
        <w:rPr>
          <w:rFonts w:ascii="Times New Roman" w:eastAsia="Times New Roman" w:hAnsi="Times New Roman" w:cs="Times New Roman"/>
          <w:kern w:val="0"/>
          <w14:ligatures w14:val="none"/>
        </w:rPr>
        <w:t>Spinal cord infection: 89.1 (20.2-393), &lt;0.0001, 5.93 and 16.2</w:t>
      </w:r>
      <w:r w:rsidR="006D11D7"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7.32-35.9, &lt;0.0001, 6</w:t>
      </w:r>
    </w:p>
    <w:p w14:paraId="6B5C1D39" w14:textId="279417EA" w:rsidR="009443DE" w:rsidRPr="00BB5ADD" w:rsidRDefault="009443DE" w:rsidP="00106306">
      <w:pPr>
        <w:pStyle w:val="ListParagraph"/>
        <w:numPr>
          <w:ilvl w:val="0"/>
          <w:numId w:val="8"/>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Toxic encephalopathy: 157</w:t>
      </w:r>
      <w:r w:rsidR="00C16D6C"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69.1-355, &lt;0.0001, 12.1 and 57.7</w:t>
      </w:r>
      <w:r w:rsidR="00C16D6C"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32.7-102, &lt;0.0001, 14.0</w:t>
      </w:r>
    </w:p>
    <w:p w14:paraId="13E27D8D" w14:textId="77777777" w:rsidR="00666519" w:rsidRPr="00BB5ADD" w:rsidRDefault="00666519" w:rsidP="00337378">
      <w:pPr>
        <w:spacing w:line="360" w:lineRule="auto"/>
      </w:pPr>
    </w:p>
    <w:p w14:paraId="4CC79CE1" w14:textId="6F2771A2" w:rsidR="00BB5ADD" w:rsidRPr="00BB5ADD" w:rsidRDefault="00680944" w:rsidP="00680944">
      <w:pPr>
        <w:spacing w:line="360" w:lineRule="auto"/>
      </w:pPr>
      <w:r w:rsidRPr="00BB5ADD">
        <w:rPr>
          <w:b/>
          <w:bCs/>
          <w:i/>
          <w:iCs/>
        </w:rPr>
        <w:t xml:space="preserve">Findings Related to </w:t>
      </w:r>
      <w:r w:rsidR="006D727D" w:rsidRPr="00BB5ADD">
        <w:rPr>
          <w:b/>
          <w:bCs/>
          <w:i/>
          <w:iCs/>
        </w:rPr>
        <w:t>Herpetic CNS infection</w:t>
      </w:r>
    </w:p>
    <w:p w14:paraId="111102A4" w14:textId="18AFBCC6" w:rsidR="00680944" w:rsidRPr="00BB5ADD" w:rsidRDefault="00680944" w:rsidP="00680944">
      <w:pPr>
        <w:spacing w:line="360" w:lineRule="auto"/>
      </w:pPr>
      <w:r w:rsidRPr="00BB5ADD">
        <w:t xml:space="preserve">In total, there were 11 lower-level terms (LLT) identified in VAERS as correlated to </w:t>
      </w:r>
      <w:r w:rsidR="00970E34">
        <w:t>h</w:t>
      </w:r>
      <w:r w:rsidR="006D727D" w:rsidRPr="00BB5ADD">
        <w:t>erpetic CNS infection</w:t>
      </w:r>
      <w:r w:rsidRPr="00BB5ADD">
        <w:t xml:space="preserve">. </w:t>
      </w:r>
      <w:r w:rsidR="00085140" w:rsidRPr="001A525C">
        <w:t xml:space="preserve">Data are expressed as OR, CI, p-value, Z-score. </w:t>
      </w:r>
      <w:r w:rsidRPr="00BB5ADD">
        <w:t>In total, the OR of all 11 LLTs combined was 171</w:t>
      </w:r>
      <w:r w:rsidR="002B3460" w:rsidRPr="00BB5ADD">
        <w:t>,</w:t>
      </w:r>
      <w:r w:rsidRPr="00BB5ADD">
        <w:t xml:space="preserve"> 93.9-312,</w:t>
      </w:r>
      <w:r w:rsidR="00575D7D" w:rsidRPr="00BB5ADD">
        <w:t xml:space="preserve"> &lt;</w:t>
      </w:r>
      <w:r w:rsidRPr="00BB5ADD">
        <w:t>0.0001, 16.8 when the COVID-19 vaccines were compared to influenza vaccines</w:t>
      </w:r>
      <w:r w:rsidR="002338D9" w:rsidRPr="00BB5ADD">
        <w:t>,</w:t>
      </w:r>
      <w:r w:rsidRPr="00BB5ADD">
        <w:t xml:space="preserve"> and 22.3</w:t>
      </w:r>
      <w:r w:rsidR="002338D9" w:rsidRPr="00BB5ADD">
        <w:t>,</w:t>
      </w:r>
      <w:r w:rsidRPr="00BB5ADD">
        <w:t xml:space="preserve"> 15.4-32.4, &lt;0.0001, 16.4 when the COVID-19 vaccines were compared to all other vaccines combined. Specific LLT ORs in the </w:t>
      </w:r>
      <w:r w:rsidR="00970E34">
        <w:t>h</w:t>
      </w:r>
      <w:r w:rsidR="006D727D" w:rsidRPr="00BB5ADD">
        <w:t>erpetic CNS infection</w:t>
      </w:r>
      <w:r w:rsidRPr="00BB5ADD">
        <w:t xml:space="preserve"> grouping include:</w:t>
      </w:r>
    </w:p>
    <w:p w14:paraId="00FB2C83" w14:textId="1E970671" w:rsidR="005F49CE" w:rsidRPr="00BB5ADD" w:rsidRDefault="005F49CE" w:rsidP="00B55C09">
      <w:pPr>
        <w:pStyle w:val="ListParagraph"/>
        <w:numPr>
          <w:ilvl w:val="0"/>
          <w:numId w:val="9"/>
        </w:numPr>
      </w:pPr>
      <w:r w:rsidRPr="00BB5ADD">
        <w:rPr>
          <w:rFonts w:ascii="Times New Roman" w:eastAsia="Times New Roman" w:hAnsi="Times New Roman" w:cs="Times New Roman"/>
          <w:kern w:val="0"/>
          <w14:ligatures w14:val="none"/>
        </w:rPr>
        <w:t>Herpes simplex encephalitis: 43.3</w:t>
      </w:r>
      <w:r w:rsidR="00186038"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18.2</w:t>
      </w:r>
      <w:r w:rsidR="00186038"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103, &lt;0.0001, 8.51 and 20.2</w:t>
      </w:r>
      <w:r w:rsidR="00186038"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10.3-39.8, &lt;0.0001, 8.69</w:t>
      </w:r>
    </w:p>
    <w:p w14:paraId="549EFC1C" w14:textId="5ECF3C23" w:rsidR="00680944" w:rsidRPr="00BB5ADD" w:rsidRDefault="00680944" w:rsidP="00680944">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lastRenderedPageBreak/>
        <w:t>Herpes simplex meningitis: 132</w:t>
      </w:r>
      <w:r w:rsidR="004A5123"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7.45-2360, =0.0009, 3.33 and 31.2</w:t>
      </w:r>
      <w:r w:rsidR="004A5123"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6.30-155, &lt;0.0001, 4.21</w:t>
      </w:r>
    </w:p>
    <w:p w14:paraId="723A904A" w14:textId="24F47AB8" w:rsidR="00680944" w:rsidRPr="00BB5ADD" w:rsidRDefault="00680944" w:rsidP="00680944">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Herpes simplex meningoencephalitis: 120</w:t>
      </w:r>
      <w:r w:rsidR="00B54570"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6.52-2210, =0.0013, 3.22 and 27.6</w:t>
      </w:r>
      <w:r w:rsidR="00B54570"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5.18-147, =0.0001, 3.89</w:t>
      </w:r>
    </w:p>
    <w:p w14:paraId="217788C6" w14:textId="11ED8FF7" w:rsidR="005F49CE" w:rsidRPr="00BB5ADD" w:rsidRDefault="005F49CE" w:rsidP="005F49CE">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Herpes zoster infection neurological: 680</w:t>
      </w:r>
      <w:r w:rsidR="00B54570"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41.1-11200, &lt;0.0001, 4.56 and 28.2</w:t>
      </w:r>
      <w:r w:rsidR="003B5865"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13.8-57.7, &lt;0.0001, 9.15</w:t>
      </w:r>
    </w:p>
    <w:p w14:paraId="4BBE6A15" w14:textId="34975441" w:rsidR="00680944" w:rsidRPr="00BB5ADD" w:rsidRDefault="00680944" w:rsidP="005F49CE">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Herpes zoster meningitis: 1260</w:t>
      </w:r>
      <w:r w:rsidR="003B5865" w:rsidRPr="00BB5ADD">
        <w:rPr>
          <w:rFonts w:ascii="Times New Roman" w:eastAsia="Times New Roman" w:hAnsi="Times New Roman" w:cs="Times New Roman"/>
          <w:kern w:val="0"/>
          <w14:ligatures w14:val="none"/>
        </w:rPr>
        <w:t xml:space="preserve">, </w:t>
      </w:r>
      <w:r w:rsidRPr="00BB5ADD">
        <w:rPr>
          <w:rFonts w:ascii="Times New Roman" w:eastAsia="Times New Roman" w:hAnsi="Times New Roman" w:cs="Times New Roman"/>
          <w:kern w:val="0"/>
          <w14:ligatures w14:val="none"/>
        </w:rPr>
        <w:t>77.0-20700, &lt;0.0001, 5.00 and 28.8</w:t>
      </w:r>
      <w:r w:rsidR="003B5865"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16.3-50.6, &lt;0.0001, 11.6</w:t>
      </w:r>
    </w:p>
    <w:p w14:paraId="62F88390" w14:textId="64EED8B1" w:rsidR="00680944" w:rsidRPr="00BB5ADD" w:rsidRDefault="00680944" w:rsidP="00680944">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Herpes zoster meningoencephalitis: 339</w:t>
      </w:r>
      <w:r w:rsidR="00FF5F9D"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45.5-2520, &lt;0.0001, 5.69 and 12.5 7.04-22.4, &lt;0.0001, 8.58</w:t>
      </w:r>
    </w:p>
    <w:p w14:paraId="72DC26A4" w14:textId="3D62D23F" w:rsidR="00680944" w:rsidRPr="00BB5ADD" w:rsidRDefault="00680944" w:rsidP="00680944">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Herpes zoster meningomyelitis: 79.5</w:t>
      </w:r>
      <w:r w:rsidR="00FF5F9D"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4.21-1500, =0.0035, 2.92 and 17.8</w:t>
      </w:r>
      <w:r w:rsidR="00FF5F9D"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3.18-100, =0.0011, 3.28</w:t>
      </w:r>
    </w:p>
    <w:p w14:paraId="02C36109" w14:textId="21F237A8" w:rsidR="00680944" w:rsidRPr="00BB5ADD" w:rsidRDefault="00680944" w:rsidP="00680944">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Herpes zoster meningoradiculitis: 150</w:t>
      </w:r>
      <w:r w:rsidR="00FF5F9D"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8.53-2640, =0.0006, 3.43 and 71.3</w:t>
      </w:r>
      <w:r w:rsidR="007D4618"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8.73-583, &lt;0.0001, 3.98</w:t>
      </w:r>
    </w:p>
    <w:p w14:paraId="4DE7B7DF" w14:textId="6681CF8B" w:rsidR="00680944" w:rsidRPr="00BB5ADD" w:rsidRDefault="00680944" w:rsidP="00680944">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Meningitis herpes: 38.6</w:t>
      </w:r>
      <w:r w:rsidR="007D4618"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10.6-140, &lt;0.0001, 5.55 and 23.2</w:t>
      </w:r>
      <w:r w:rsidR="007D4618"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7.91-67.9, &lt;0.0001, 5.73</w:t>
      </w:r>
    </w:p>
    <w:p w14:paraId="1FA4F9CB" w14:textId="40F6F165" w:rsidR="00680944" w:rsidRPr="00BB5ADD" w:rsidRDefault="00680944" w:rsidP="00680944">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Meningoencephalitis herpetic: 136</w:t>
      </w:r>
      <w:r w:rsidR="00CE7451"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47.3-391, &lt;0.0001, 9.12 and 25.9</w:t>
      </w:r>
      <w:r w:rsidR="00CE7451"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14.5-46.3, &lt;0.0001, 11.0</w:t>
      </w:r>
    </w:p>
    <w:p w14:paraId="170F91E7" w14:textId="7587E761" w:rsidR="00680944" w:rsidRPr="00BB5ADD" w:rsidRDefault="00680944" w:rsidP="00680944">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Varicella meningitis: 168</w:t>
      </w:r>
      <w:r w:rsidR="00CE7451"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9.61-2930, =0.0004, 3.51 and 13.4</w:t>
      </w:r>
      <w:r w:rsidR="00EF394F"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4.56-39.2, &lt;0.0001, 4.72</w:t>
      </w:r>
    </w:p>
    <w:p w14:paraId="10402906" w14:textId="77777777" w:rsidR="00680944" w:rsidRPr="00BB5ADD" w:rsidRDefault="00680944" w:rsidP="00337378">
      <w:pPr>
        <w:spacing w:line="360" w:lineRule="auto"/>
      </w:pPr>
    </w:p>
    <w:p w14:paraId="55874CD9" w14:textId="5836FDB0" w:rsidR="00680944" w:rsidRPr="00BB5ADD" w:rsidRDefault="00680944" w:rsidP="00680944">
      <w:pPr>
        <w:spacing w:line="360" w:lineRule="auto"/>
        <w:rPr>
          <w:b/>
          <w:bCs/>
          <w:i/>
          <w:iCs/>
        </w:rPr>
      </w:pPr>
      <w:r w:rsidRPr="00BB5ADD">
        <w:rPr>
          <w:b/>
          <w:bCs/>
          <w:i/>
          <w:iCs/>
        </w:rPr>
        <w:t>Findings Related to CNS Abscess</w:t>
      </w:r>
    </w:p>
    <w:p w14:paraId="429BFE7E" w14:textId="6D05B9BD" w:rsidR="00680944" w:rsidRPr="00BB5ADD" w:rsidRDefault="00EB6C1B" w:rsidP="00680944">
      <w:pPr>
        <w:spacing w:line="360" w:lineRule="auto"/>
      </w:pPr>
      <w:r w:rsidRPr="00BB5ADD">
        <w:t xml:space="preserve">In concert with the VAERS associated increases in bacterial meningitis, is the fact that in total, there were </w:t>
      </w:r>
      <w:r w:rsidR="00680944" w:rsidRPr="00BB5ADD">
        <w:t>4 LLTs</w:t>
      </w:r>
      <w:r w:rsidR="005F49CE" w:rsidRPr="00BB5ADD">
        <w:t xml:space="preserve"> were</w:t>
      </w:r>
      <w:r w:rsidR="00680944" w:rsidRPr="00BB5ADD">
        <w:t xml:space="preserve"> identified in VAERS as correlated to </w:t>
      </w:r>
      <w:r w:rsidR="00FC1C1D" w:rsidRPr="00BB5ADD">
        <w:t>CNS</w:t>
      </w:r>
      <w:r w:rsidR="00680944" w:rsidRPr="00BB5ADD">
        <w:t xml:space="preserve"> abscess. </w:t>
      </w:r>
      <w:r w:rsidR="00616F09" w:rsidRPr="001A525C">
        <w:t xml:space="preserve">Data are expressed as OR, CI, p-value, Z-score. </w:t>
      </w:r>
      <w:r w:rsidR="00680944" w:rsidRPr="00BB5ADD">
        <w:t>In total, the OR of all 4 LLTs combined was 107</w:t>
      </w:r>
      <w:r w:rsidR="00EF394F" w:rsidRPr="00BB5ADD">
        <w:t>,</w:t>
      </w:r>
      <w:r w:rsidR="00680944" w:rsidRPr="00BB5ADD">
        <w:t xml:space="preserve"> 40.9-280,</w:t>
      </w:r>
      <w:r w:rsidR="0032356F" w:rsidRPr="00BB5ADD">
        <w:t xml:space="preserve"> </w:t>
      </w:r>
      <w:r w:rsidR="00680944" w:rsidRPr="00BB5ADD">
        <w:t>&lt;0.0001, 9.53 when the COVID-19 vaccines were compared to influenza vaccines and 17.8</w:t>
      </w:r>
      <w:r w:rsidR="0032356F" w:rsidRPr="00BB5ADD">
        <w:t>,</w:t>
      </w:r>
      <w:r w:rsidR="00680944" w:rsidRPr="00BB5ADD">
        <w:t xml:space="preserve"> 10.5-30.4, &lt;0.0001, 10.6 when the COVID-19 vaccines were compared to all other vaccines combined. Specific LLT ORs in the CNS abscess grouping include:</w:t>
      </w:r>
    </w:p>
    <w:p w14:paraId="757F038F" w14:textId="012BB2FA" w:rsidR="00680944" w:rsidRPr="00BB5ADD" w:rsidRDefault="00680944" w:rsidP="00680944">
      <w:pPr>
        <w:pStyle w:val="ListParagraph"/>
        <w:numPr>
          <w:ilvl w:val="0"/>
          <w:numId w:val="9"/>
        </w:numPr>
        <w:contextualSpacing w:val="0"/>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Brain abscess: 120</w:t>
      </w:r>
      <w:r w:rsidR="00BA2375"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27.7-522, &lt;0.0001, 6.40 and 15.0</w:t>
      </w:r>
      <w:r w:rsidR="00223CE4"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7.56-29.9, &lt;0.0001, 7.72</w:t>
      </w:r>
    </w:p>
    <w:p w14:paraId="71CA6502" w14:textId="24764056" w:rsidR="005F49CE" w:rsidRPr="00BB5ADD" w:rsidRDefault="005F49CE" w:rsidP="005F49CE">
      <w:pPr>
        <w:pStyle w:val="ListParagraph"/>
        <w:numPr>
          <w:ilvl w:val="0"/>
          <w:numId w:val="9"/>
        </w:numPr>
        <w:contextualSpacing w:val="0"/>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Extradural abscess: 169</w:t>
      </w:r>
      <w:r w:rsidR="00223CE4"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22.2-1290, &lt;0.0001, 4.95 and 28.2</w:t>
      </w:r>
      <w:r w:rsidR="00223CE4"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10.7-74.2, &lt;0.0001, 6.78</w:t>
      </w:r>
    </w:p>
    <w:p w14:paraId="24B87259" w14:textId="2F6F38D9" w:rsidR="00680944" w:rsidRPr="00BB5ADD" w:rsidRDefault="00680944" w:rsidP="005F49CE">
      <w:pPr>
        <w:pStyle w:val="ListParagraph"/>
        <w:numPr>
          <w:ilvl w:val="0"/>
          <w:numId w:val="9"/>
        </w:numPr>
        <w:contextualSpacing w:val="0"/>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Spinal cord abscess: 89.1</w:t>
      </w:r>
      <w:r w:rsidR="00CE4AA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11.2-712, &lt;0.0001, 4.24 and 17.8</w:t>
      </w:r>
      <w:r w:rsidR="00CE4AA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5.85-54.4, &lt;0.0001, 5.06</w:t>
      </w:r>
    </w:p>
    <w:p w14:paraId="53077B4D" w14:textId="2CB4BA12" w:rsidR="00680944" w:rsidRPr="00BB5ADD" w:rsidRDefault="00680944" w:rsidP="00680944">
      <w:pPr>
        <w:pStyle w:val="ListParagraph"/>
        <w:numPr>
          <w:ilvl w:val="0"/>
          <w:numId w:val="9"/>
        </w:numPr>
        <w:contextualSpacing w:val="0"/>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Subdural abscess: 35.7</w:t>
      </w:r>
      <w:r w:rsidR="00CE4AA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3.90-326, =0.0015, 3.17 and 11.9</w:t>
      </w:r>
      <w:r w:rsidR="00B902FF"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2.58-54.7, =0.0015, 3.18</w:t>
      </w:r>
    </w:p>
    <w:p w14:paraId="6E4108FE" w14:textId="77777777" w:rsidR="00680944" w:rsidRPr="00BB5ADD" w:rsidRDefault="00680944" w:rsidP="00337378">
      <w:pPr>
        <w:spacing w:line="360" w:lineRule="auto"/>
      </w:pPr>
    </w:p>
    <w:p w14:paraId="61DDC3C1" w14:textId="34D8E4FD" w:rsidR="00680944" w:rsidRPr="00BB5ADD" w:rsidRDefault="00680944" w:rsidP="00680944">
      <w:pPr>
        <w:spacing w:line="360" w:lineRule="auto"/>
        <w:rPr>
          <w:b/>
          <w:bCs/>
          <w:i/>
          <w:iCs/>
        </w:rPr>
      </w:pPr>
      <w:r w:rsidRPr="00BB5ADD">
        <w:rPr>
          <w:b/>
          <w:bCs/>
          <w:i/>
          <w:iCs/>
        </w:rPr>
        <w:t>Findings Related to CNS Uncommon</w:t>
      </w:r>
      <w:r w:rsidR="00602F41" w:rsidRPr="00BB5ADD">
        <w:rPr>
          <w:b/>
          <w:bCs/>
          <w:i/>
          <w:iCs/>
        </w:rPr>
        <w:t xml:space="preserve"> neurological</w:t>
      </w:r>
      <w:r w:rsidRPr="00BB5ADD">
        <w:rPr>
          <w:b/>
          <w:bCs/>
          <w:i/>
          <w:iCs/>
        </w:rPr>
        <w:t xml:space="preserve"> </w:t>
      </w:r>
      <w:r w:rsidR="00602F41" w:rsidRPr="00BB5ADD">
        <w:rPr>
          <w:b/>
          <w:bCs/>
          <w:i/>
          <w:iCs/>
        </w:rPr>
        <w:t>d</w:t>
      </w:r>
      <w:r w:rsidRPr="00BB5ADD">
        <w:rPr>
          <w:b/>
          <w:bCs/>
          <w:i/>
          <w:iCs/>
        </w:rPr>
        <w:t>isease</w:t>
      </w:r>
    </w:p>
    <w:p w14:paraId="13ABBB3A" w14:textId="6E8C37AA" w:rsidR="00680944" w:rsidRPr="00BB5ADD" w:rsidRDefault="00547626" w:rsidP="00680944">
      <w:pPr>
        <w:spacing w:line="360" w:lineRule="auto"/>
      </w:pPr>
      <w:r w:rsidRPr="00BB5ADD">
        <w:t xml:space="preserve">Due to the degree of heterogeneity </w:t>
      </w:r>
      <w:r w:rsidR="00680944" w:rsidRPr="00BB5ADD">
        <w:t xml:space="preserve">in this grouping, the authors did not conduct a total OR but rather listed the ORs out separately. </w:t>
      </w:r>
      <w:r w:rsidR="00207E27" w:rsidRPr="001A525C">
        <w:t xml:space="preserve">Data are expressed as OR, 95% confidence interval, CI, p-value, Z-score. </w:t>
      </w:r>
      <w:r w:rsidR="00D635E6" w:rsidRPr="00BB5ADD">
        <w:t xml:space="preserve">Listed below are the calculated </w:t>
      </w:r>
      <w:r w:rsidR="00680944" w:rsidRPr="00BB5ADD">
        <w:t>ORs</w:t>
      </w:r>
      <w:r w:rsidR="00D635E6" w:rsidRPr="00BB5ADD">
        <w:t xml:space="preserve"> comparing </w:t>
      </w:r>
      <w:r w:rsidR="00680944" w:rsidRPr="00BB5ADD">
        <w:t xml:space="preserve">the COVID-19 vaccines to influenza vaccines </w:t>
      </w:r>
      <w:r w:rsidR="00D635E6" w:rsidRPr="00BB5ADD">
        <w:t>as well as</w:t>
      </w:r>
      <w:r w:rsidR="00680944" w:rsidRPr="00BB5ADD">
        <w:t xml:space="preserve"> COVID-19 vaccines to all other vaccines combined.</w:t>
      </w:r>
    </w:p>
    <w:p w14:paraId="3E3A5A11" w14:textId="3EE9EA53" w:rsidR="00680944" w:rsidRPr="00BB5ADD" w:rsidRDefault="00680944" w:rsidP="00680944">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Creutzfeldt-Jakob disease: 847</w:t>
      </w:r>
      <w:r w:rsidR="0090500D"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115-6220, &lt;0.0001, 6.63 and 169</w:t>
      </w:r>
      <w:r w:rsidR="0090500D"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65.6-437, &lt;0.0001, 10.6</w:t>
      </w:r>
    </w:p>
    <w:p w14:paraId="5F9E0847" w14:textId="6A4C0245" w:rsidR="00680944" w:rsidRPr="00BB5ADD" w:rsidRDefault="00680944" w:rsidP="00680944">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lastRenderedPageBreak/>
        <w:t>Myelitis transverse: 20.8</w:t>
      </w:r>
      <w:r w:rsidR="00AD6CB5"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15.0-29.0, &lt;0.0001, 18.0 and 8.93</w:t>
      </w:r>
      <w:r w:rsidR="00A02561"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6.49-12.3, &lt;0.0001, 13.5</w:t>
      </w:r>
    </w:p>
    <w:p w14:paraId="4CB07E48" w14:textId="7553B2E8" w:rsidR="00680944" w:rsidRPr="00BB5ADD" w:rsidRDefault="00680944" w:rsidP="00680944">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Noninfectious myelitis: 132</w:t>
      </w:r>
      <w:r w:rsidR="00A02561"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7.45-2360), =0.0009, 3.33 and 15.6 (4.40-55.3), &lt;0.0001, 4.26</w:t>
      </w:r>
    </w:p>
    <w:p w14:paraId="4E8277AC" w14:textId="4348057E" w:rsidR="005F49CE" w:rsidRPr="00BB5ADD" w:rsidRDefault="005F49CE" w:rsidP="005F49CE">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Poliomyelitis: 32.7</w:t>
      </w:r>
      <w:r w:rsidR="000531B1"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8.80-121, &lt;0.0001, 5.21 and 1.02</w:t>
      </w:r>
      <w:r w:rsidR="0092002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0.511-2.04, =0.952, 0.0602</w:t>
      </w:r>
    </w:p>
    <w:p w14:paraId="733DB9ED" w14:textId="24BCDA11" w:rsidR="005F49CE" w:rsidRPr="00BB5ADD" w:rsidRDefault="005F49CE" w:rsidP="005F49CE">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Post polio syndrome: 97.1</w:t>
      </w:r>
      <w:r w:rsidR="0092002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5.29-1780, =0.0021, 3.08 and 5.57</w:t>
      </w:r>
      <w:r w:rsidR="0092002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1.75-17.7, =0.0036, 2.91</w:t>
      </w:r>
    </w:p>
    <w:p w14:paraId="7865A782" w14:textId="147A079F" w:rsidR="005F49CE" w:rsidRPr="00BB5ADD" w:rsidRDefault="005F49CE" w:rsidP="005F49CE">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Prion disease: 61.8</w:t>
      </w:r>
      <w:r w:rsidR="00877215"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3.15-1220, =0.0066, 2.71 and 61.8</w:t>
      </w:r>
      <w:r w:rsidR="00877215"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3.15-1220, =0.0066, 2.71</w:t>
      </w:r>
    </w:p>
    <w:p w14:paraId="38947E53" w14:textId="0BB23D6C" w:rsidR="005F49CE" w:rsidRPr="00BB5ADD" w:rsidRDefault="005F49CE" w:rsidP="005F49CE">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Vaccine associated paralytic poliomyelitis: 44.2</w:t>
      </w:r>
      <w:r w:rsidR="00877215"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2.09-934, =0.0150, 2.43 and 2.55</w:t>
      </w:r>
      <w:r w:rsidR="003C68A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0.514-12.6, =0.2521, 1.15</w:t>
      </w:r>
    </w:p>
    <w:p w14:paraId="29E97EFA" w14:textId="43685FDC" w:rsidR="00680944" w:rsidRPr="00BB5ADD" w:rsidRDefault="00680944" w:rsidP="005F49CE">
      <w:pPr>
        <w:pStyle w:val="ListParagraph"/>
        <w:numPr>
          <w:ilvl w:val="0"/>
          <w:numId w:val="9"/>
        </w:numPr>
        <w:rPr>
          <w:rFonts w:ascii="Times New Roman" w:eastAsia="Times New Roman" w:hAnsi="Times New Roman" w:cs="Times New Roman"/>
          <w:kern w:val="0"/>
          <w14:ligatures w14:val="none"/>
        </w:rPr>
      </w:pPr>
      <w:r w:rsidRPr="00BB5ADD">
        <w:rPr>
          <w:rFonts w:ascii="Times New Roman" w:eastAsia="Times New Roman" w:hAnsi="Times New Roman" w:cs="Times New Roman"/>
          <w:kern w:val="0"/>
          <w14:ligatures w14:val="none"/>
        </w:rPr>
        <w:t>Viral myelitis: 115</w:t>
      </w:r>
      <w:r w:rsidR="003C68A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6.37-2070, =0.0013, 3.22 and 13.4</w:t>
      </w:r>
      <w:r w:rsidR="003C68A6" w:rsidRPr="00BB5ADD">
        <w:rPr>
          <w:rFonts w:ascii="Times New Roman" w:eastAsia="Times New Roman" w:hAnsi="Times New Roman" w:cs="Times New Roman"/>
          <w:kern w:val="0"/>
          <w14:ligatures w14:val="none"/>
        </w:rPr>
        <w:t>,</w:t>
      </w:r>
      <w:r w:rsidRPr="00BB5ADD">
        <w:rPr>
          <w:rFonts w:ascii="Times New Roman" w:eastAsia="Times New Roman" w:hAnsi="Times New Roman" w:cs="Times New Roman"/>
          <w:kern w:val="0"/>
          <w14:ligatures w14:val="none"/>
        </w:rPr>
        <w:t xml:space="preserve"> 3.64-49.1, =0.0001, 3.91</w:t>
      </w:r>
    </w:p>
    <w:p w14:paraId="5B7DBE20" w14:textId="77777777" w:rsidR="00680944" w:rsidRPr="00BB5ADD" w:rsidRDefault="00680944" w:rsidP="00337378">
      <w:pPr>
        <w:spacing w:line="360" w:lineRule="auto"/>
      </w:pPr>
    </w:p>
    <w:p w14:paraId="302847C7" w14:textId="77777777" w:rsidR="001A525C" w:rsidRDefault="001A525C" w:rsidP="00D655E8">
      <w:pPr>
        <w:spacing w:line="360" w:lineRule="auto"/>
        <w:jc w:val="center"/>
        <w:rPr>
          <w:b/>
          <w:bCs/>
        </w:rPr>
      </w:pPr>
    </w:p>
    <w:p w14:paraId="556E0A4B" w14:textId="59AF2B98" w:rsidR="00D655E8" w:rsidRPr="00BB5ADD" w:rsidRDefault="00D655E8" w:rsidP="00D655E8">
      <w:pPr>
        <w:spacing w:line="360" w:lineRule="auto"/>
        <w:jc w:val="center"/>
        <w:rPr>
          <w:b/>
          <w:bCs/>
        </w:rPr>
      </w:pPr>
      <w:r w:rsidRPr="00BB5ADD">
        <w:rPr>
          <w:b/>
          <w:bCs/>
        </w:rPr>
        <w:t>Discussion</w:t>
      </w:r>
    </w:p>
    <w:p w14:paraId="29FE8057" w14:textId="77777777" w:rsidR="00D635E6" w:rsidRPr="00BB5ADD" w:rsidRDefault="00D635E6" w:rsidP="00D655E8">
      <w:pPr>
        <w:spacing w:line="360" w:lineRule="auto"/>
        <w:jc w:val="center"/>
        <w:rPr>
          <w:b/>
          <w:bCs/>
        </w:rPr>
      </w:pPr>
    </w:p>
    <w:p w14:paraId="3F36AD0C" w14:textId="51591ECC" w:rsidR="00D635E6" w:rsidRPr="00A465B9" w:rsidRDefault="00D635E6" w:rsidP="00D635E6">
      <w:pPr>
        <w:spacing w:line="360" w:lineRule="auto"/>
      </w:pPr>
      <w:r w:rsidRPr="00BB5ADD">
        <w:t>The anatomically complex BBB plays a critical role in maintaining CNS homeostasis by restricting toxin and pathogen entry into the brain.  Overt CNS infections generally result from a common pericranial infection such as sinusitis, otitis, or infections of the oral cavity that unusually deviate from a typical indolent course by crossing the BBB causing a life-threatening illness.</w:t>
      </w:r>
      <w:r w:rsidR="0054066B">
        <w:t xml:space="preserve"> The mRNA, lipid nanoparticle, and unchecked production of spike protein </w:t>
      </w:r>
      <w:r w:rsidR="00BD17C2">
        <w:t>likely was the root cause of BBB dysfunction and incipient infection.</w:t>
      </w:r>
      <w:r w:rsidRPr="00BB5ADD">
        <w:t xml:space="preserve">  Although the pathogenesis of BBB dysfunction is not well understood, it is believed that the pathogen inoculum must reach a minimum threshold or that a contiguous pathogen spread occurs from a nidus of chronic infection in the sinuses or inner ear. This attack on the BBB creates a vulnerability for patients to develop meningitis, encephalitis, and pericranial abscess formation.</w:t>
      </w:r>
      <w:r w:rsidRPr="00BB5ADD">
        <w:rPr>
          <w:vertAlign w:val="superscript"/>
        </w:rPr>
        <w:t>1</w:t>
      </w:r>
      <w:r w:rsidRPr="00BB5ADD">
        <w:t xml:space="preserve"> Inflammation of the BBB compromises the structural integrity, allowing substances to enter the brain that are normally excluded from the systemic circulation. The spike protein, in particular, has the potential to induce inflammation in endothelial cells throughout the body, including those that comprise the BBB vasculature</w:t>
      </w:r>
      <w:r w:rsidR="00880A3D">
        <w:t xml:space="preserve"> resulting in loss of barrier integrity, thrombosis, and hemorrhage</w:t>
      </w:r>
      <w:r w:rsidRPr="00BB5ADD">
        <w:t>.</w:t>
      </w:r>
      <w:r w:rsidR="007B70F0" w:rsidRPr="00BB5ADD">
        <w:rPr>
          <w:vertAlign w:val="superscript"/>
        </w:rPr>
        <w:t>9,</w:t>
      </w:r>
      <w:r w:rsidR="001178CD" w:rsidRPr="00BB5ADD">
        <w:rPr>
          <w:vertAlign w:val="superscript"/>
        </w:rPr>
        <w:t xml:space="preserve"> 10, 11 </w:t>
      </w:r>
      <w:r w:rsidR="00E8648D">
        <w:t xml:space="preserve">The proposed mechanism of COVID-19 vaccine-induced disruption of the blood–brain barrier, and its potential downstream sequelae, is illustrated in </w:t>
      </w:r>
      <w:r w:rsidR="00E8648D">
        <w:rPr>
          <w:rStyle w:val="Strong"/>
        </w:rPr>
        <w:t>Figure 1</w:t>
      </w:r>
      <w:r w:rsidR="00E8648D">
        <w:t>.</w:t>
      </w:r>
    </w:p>
    <w:p w14:paraId="4D566A49" w14:textId="77777777" w:rsidR="00D655E8" w:rsidRPr="00BB5ADD" w:rsidRDefault="00D655E8" w:rsidP="00337378">
      <w:pPr>
        <w:spacing w:line="360" w:lineRule="auto"/>
      </w:pPr>
    </w:p>
    <w:p w14:paraId="08856F82" w14:textId="56F4AD61" w:rsidR="00D635E6" w:rsidRPr="00BB5ADD" w:rsidRDefault="00D635E6" w:rsidP="00337378">
      <w:pPr>
        <w:spacing w:line="360" w:lineRule="auto"/>
      </w:pPr>
      <w:r w:rsidRPr="00BB5ADD">
        <w:t xml:space="preserve">CNS infection syndromes are grouped based on the anatomical location affected.  Meningitis indicates inflammation of the meninges, the three protective membranes encasing the CNS including the dura mater, arachnoid mater, and the pia mater, while encephalitis refers to an involvement of the actual brain parenchyma. Myelitis generally refers to the involvement of the </w:t>
      </w:r>
      <w:r w:rsidRPr="00BB5ADD">
        <w:lastRenderedPageBreak/>
        <w:t xml:space="preserve">insulative myelin surrounding the peripheral or cranial nerves, or actual spinal cord.  These diagnoses may be further differentiated based on the causative organism or mechanism of disease.  It is acknowledged that there may be some symptom overlap in the presentation of these conditions. </w:t>
      </w:r>
    </w:p>
    <w:p w14:paraId="6276678D" w14:textId="77777777" w:rsidR="00D635E6" w:rsidRPr="00BB5ADD" w:rsidRDefault="00D635E6" w:rsidP="00D635E6">
      <w:pPr>
        <w:spacing w:line="360" w:lineRule="auto"/>
      </w:pPr>
    </w:p>
    <w:p w14:paraId="243F1823" w14:textId="5AF154BB" w:rsidR="0093086E" w:rsidRPr="00BB5ADD" w:rsidRDefault="00D635E6" w:rsidP="0093086E">
      <w:pPr>
        <w:spacing w:line="360" w:lineRule="auto"/>
        <w:rPr>
          <w:lang w:val="en"/>
        </w:rPr>
      </w:pPr>
      <w:r w:rsidRPr="00BB5ADD">
        <w:t xml:space="preserve">Bacterial meningitis generally has an acute severe clinical onset, can be rapidly diagnosed, and </w:t>
      </w:r>
      <w:r w:rsidR="00F26A1A" w:rsidRPr="00BB5ADD">
        <w:t>is often</w:t>
      </w:r>
      <w:r w:rsidRPr="00BB5ADD">
        <w:t xml:space="preserve"> lethal. Although historically considered rare in the developed countries, between 600-1000 people are diagnosed with meningococcal disease each year in the US, of which 10-15% will die despite appropriate treatment and 20% of survivors may live with permanent disabilities.</w:t>
      </w:r>
      <w:r w:rsidR="007D58C7" w:rsidRPr="00BB5ADD">
        <w:rPr>
          <w:vertAlign w:val="superscript"/>
        </w:rPr>
        <w:t>12</w:t>
      </w:r>
      <w:r w:rsidR="007D58C7" w:rsidRPr="00BB5ADD">
        <w:t xml:space="preserve"> Autoimmune</w:t>
      </w:r>
      <w:r w:rsidR="0093086E" w:rsidRPr="00BB5ADD">
        <w:t xml:space="preserve"> meningitis and encephalitis are usually milder and may be triggered by medication, viruses, vaccination, or even cancer.</w:t>
      </w:r>
      <w:r w:rsidR="0093086E" w:rsidRPr="00BB5ADD">
        <w:rPr>
          <w:vertAlign w:val="superscript"/>
        </w:rPr>
        <w:t>6</w:t>
      </w:r>
      <w:r w:rsidR="007023F7">
        <w:t xml:space="preserve"> </w:t>
      </w:r>
      <w:r w:rsidR="0093086E" w:rsidRPr="00BB5ADD">
        <w:t>Encephalitis tends to portend a poorer prognosis than meningitis.  Enteroviruses are often implicated in both meningitis and encephalitis with herpes simplex and herpes zoster viruses also frequently identified as the causative organism in encephalitis cases.</w:t>
      </w:r>
      <w:r w:rsidR="001178CD" w:rsidRPr="00BB5ADD">
        <w:rPr>
          <w:vertAlign w:val="superscript"/>
        </w:rPr>
        <w:t>13</w:t>
      </w:r>
      <w:r w:rsidR="007023F7">
        <w:t xml:space="preserve"> </w:t>
      </w:r>
      <w:r w:rsidR="0093086E" w:rsidRPr="00BB5ADD">
        <w:rPr>
          <w:lang w:val="en"/>
        </w:rPr>
        <w:t xml:space="preserve">The authors believe the increase in bacterial meningitis cases found in our VAERS queries may have a causal link to the COVID-19 mRNA “vaccines”. Further investigation is required, possibly to involve some preliminary opsonization and phagocytosis studies of the innate immune system in these patients. </w:t>
      </w:r>
    </w:p>
    <w:p w14:paraId="70B6BC8B" w14:textId="238DB98E" w:rsidR="0093086E" w:rsidRPr="00BB5ADD" w:rsidRDefault="0093086E" w:rsidP="0093086E">
      <w:pPr>
        <w:spacing w:line="360" w:lineRule="auto"/>
      </w:pPr>
    </w:p>
    <w:p w14:paraId="1E9A7EC2" w14:textId="5909B3D3" w:rsidR="0093086E" w:rsidRPr="00BB5ADD" w:rsidRDefault="0093086E" w:rsidP="004725B5">
      <w:pPr>
        <w:spacing w:line="360" w:lineRule="auto"/>
      </w:pPr>
      <w:r w:rsidRPr="00BB5ADD">
        <w:t>It is of note that the rates of meningococcal meningitis/encephalitis had been in decline prior to 2021. CDC documents demonstrate that there has been a sharp increase in cases since the introduction of the COVID-19 mRNA vaccines and numerous outbreaks of meningococcal disease have made national headlines over the past few years.  Specifically, the CDC has noted that 438 cases were reported in 2023, the highest number of cases in over a decade.</w:t>
      </w:r>
      <w:r w:rsidRPr="00BB5ADD">
        <w:rPr>
          <w:vertAlign w:val="superscript"/>
        </w:rPr>
        <w:t xml:space="preserve">2 </w:t>
      </w:r>
      <w:r w:rsidRPr="00BB5ADD">
        <w:t xml:space="preserve">In 2022, ABC News reported on an unusual outbreak of meningococcal disease in Florida involving 26 individuals, with 7 dead.  </w:t>
      </w:r>
      <w:r w:rsidR="00206483" w:rsidRPr="00BB5ADD">
        <w:t>The CDC described this as one of the worst outbreaks in history with this particular case exceeding the state’s five-year average.</w:t>
      </w:r>
      <w:r w:rsidR="00206483" w:rsidRPr="00BB5ADD">
        <w:rPr>
          <w:vertAlign w:val="superscript"/>
        </w:rPr>
        <w:t>3</w:t>
      </w:r>
      <w:r w:rsidR="00206483" w:rsidRPr="00BB5ADD">
        <w:rPr>
          <w:b/>
          <w:bCs/>
        </w:rPr>
        <w:t xml:space="preserve"> </w:t>
      </w:r>
      <w:r w:rsidRPr="00BB5ADD">
        <w:t>Most of the individuals affected were gay or bisexual, with 10 documented as having HIV</w:t>
      </w:r>
      <w:r w:rsidR="00524B14" w:rsidRPr="00BB5ADD">
        <w:t>/AIDS</w:t>
      </w:r>
      <w:r w:rsidRPr="00BB5ADD">
        <w:t>.</w:t>
      </w:r>
      <w:r w:rsidR="00524B14" w:rsidRPr="00BB5ADD">
        <w:t xml:space="preserve"> Several investigators</w:t>
      </w:r>
      <w:r w:rsidR="000135D7" w:rsidRPr="00BB5ADD">
        <w:t xml:space="preserve"> demonstrate that the COVID-19 vaccinations have caused vaccine</w:t>
      </w:r>
      <w:r w:rsidR="00757687" w:rsidRPr="00BB5ADD">
        <w:t xml:space="preserve"> induced acquired immune deficiency syndrome also referred to as VAIDS.</w:t>
      </w:r>
      <w:r w:rsidR="001178CD" w:rsidRPr="00BB5ADD">
        <w:rPr>
          <w:vertAlign w:val="superscript"/>
        </w:rPr>
        <w:t>14,15,16</w:t>
      </w:r>
      <w:r w:rsidR="00254ABC" w:rsidRPr="00BB5ADD">
        <w:t xml:space="preserve"> </w:t>
      </w:r>
      <w:r w:rsidR="007023F7">
        <w:t xml:space="preserve">Epidemiologist Nic </w:t>
      </w:r>
      <w:r w:rsidR="0070748F" w:rsidRPr="00BB5ADD">
        <w:t>Hulscher</w:t>
      </w:r>
      <w:r w:rsidR="00FA58D2" w:rsidRPr="00BB5ADD">
        <w:t xml:space="preserve"> </w:t>
      </w:r>
      <w:r w:rsidR="007023F7">
        <w:t xml:space="preserve">recently reviewed </w:t>
      </w:r>
      <w:r w:rsidR="0070748F" w:rsidRPr="00BB5ADD">
        <w:t>eight published articles</w:t>
      </w:r>
      <w:r w:rsidR="00FE6A73" w:rsidRPr="00BB5ADD">
        <w:t xml:space="preserve"> documenting </w:t>
      </w:r>
      <w:r w:rsidR="007023F7">
        <w:t>the VAIDS phenomenon which detailed</w:t>
      </w:r>
      <w:r w:rsidR="00FE6A73" w:rsidRPr="00BB5ADD">
        <w:t xml:space="preserve"> dramati</w:t>
      </w:r>
      <w:r w:rsidR="00CA3552" w:rsidRPr="00BB5ADD">
        <w:t>c</w:t>
      </w:r>
      <w:r w:rsidR="00FE6A73" w:rsidRPr="00BB5ADD">
        <w:t xml:space="preserve"> increase</w:t>
      </w:r>
      <w:r w:rsidR="007023F7">
        <w:t>s</w:t>
      </w:r>
      <w:r w:rsidR="00FE6A73" w:rsidRPr="00BB5ADD">
        <w:t xml:space="preserve"> in infection associated with mRNA </w:t>
      </w:r>
      <w:r w:rsidR="00F1736E" w:rsidRPr="00BB5ADD">
        <w:t>COVID-19 vaccines.</w:t>
      </w:r>
      <w:r w:rsidR="001178CD" w:rsidRPr="00BB5ADD">
        <w:rPr>
          <w:vertAlign w:val="superscript"/>
        </w:rPr>
        <w:t>17</w:t>
      </w:r>
      <w:r w:rsidR="00F1736E" w:rsidRPr="00BB5ADD">
        <w:rPr>
          <w:vertAlign w:val="superscript"/>
        </w:rPr>
        <w:t xml:space="preserve"> </w:t>
      </w:r>
    </w:p>
    <w:p w14:paraId="736F70A0" w14:textId="2D6C25DF" w:rsidR="00D635E6" w:rsidRPr="00BB5ADD" w:rsidRDefault="00D635E6" w:rsidP="00D635E6">
      <w:pPr>
        <w:spacing w:line="360" w:lineRule="auto"/>
      </w:pPr>
    </w:p>
    <w:p w14:paraId="785CA106" w14:textId="43AAC9EB" w:rsidR="0093086E" w:rsidRDefault="0093086E" w:rsidP="0093086E">
      <w:pPr>
        <w:spacing w:line="360" w:lineRule="auto"/>
      </w:pPr>
      <w:r w:rsidRPr="00BB5ADD">
        <w:t xml:space="preserve">A statewide outbreak in Virginia between August 2022 through March 2024 reported 36 cases of meningitis </w:t>
      </w:r>
      <w:r w:rsidR="001C2C58" w:rsidRPr="00BB5ADD">
        <w:t>including</w:t>
      </w:r>
      <w:r w:rsidRPr="00BB5ADD">
        <w:t xml:space="preserve"> 7 deaths.</w:t>
      </w:r>
      <w:r w:rsidRPr="00BB5ADD">
        <w:rPr>
          <w:vertAlign w:val="superscript"/>
        </w:rPr>
        <w:t>18</w:t>
      </w:r>
      <w:r w:rsidRPr="00BB5ADD">
        <w:t xml:space="preserve"> </w:t>
      </w:r>
      <w:r w:rsidR="007023F7">
        <w:t xml:space="preserve">Although </w:t>
      </w:r>
      <w:r w:rsidRPr="00BB5ADD">
        <w:t xml:space="preserve">Colorado meningitis cases generally average 6 per year, </w:t>
      </w:r>
      <w:r w:rsidR="007023F7">
        <w:t>by</w:t>
      </w:r>
      <w:r w:rsidRPr="00BB5ADD">
        <w:t xml:space="preserve"> April 2023 there were news reports of 6 cases in </w:t>
      </w:r>
      <w:r w:rsidR="007023F7">
        <w:t>just the first four months of the year</w:t>
      </w:r>
      <w:r w:rsidRPr="00BB5ADD">
        <w:t>.</w:t>
      </w:r>
      <w:r w:rsidRPr="00BB5ADD">
        <w:rPr>
          <w:vertAlign w:val="superscript"/>
        </w:rPr>
        <w:t>19</w:t>
      </w:r>
      <w:r w:rsidRPr="00BB5ADD">
        <w:t xml:space="preserve"> In 2024, US officials reported 143 cases of meningococcal disease, a 75% increase from 2023.</w:t>
      </w:r>
      <w:r w:rsidRPr="00BB5ADD">
        <w:rPr>
          <w:vertAlign w:val="superscript"/>
        </w:rPr>
        <w:t>20</w:t>
      </w:r>
      <w:r w:rsidR="00822DD4">
        <w:rPr>
          <w:b/>
          <w:bCs/>
        </w:rPr>
        <w:t xml:space="preserve"> </w:t>
      </w:r>
      <w:r w:rsidR="00822DD4">
        <w:t>None of these cases were investigate</w:t>
      </w:r>
      <w:r w:rsidR="003D5051">
        <w:t>d</w:t>
      </w:r>
      <w:r w:rsidR="00822DD4">
        <w:t xml:space="preserve"> with respect to antecedent mRNA COVID-19 vaccination as a common predisposing factor.</w:t>
      </w:r>
    </w:p>
    <w:p w14:paraId="054A3D17" w14:textId="77777777" w:rsidR="00822DD4" w:rsidRPr="00BB5ADD" w:rsidRDefault="00822DD4" w:rsidP="0093086E">
      <w:pPr>
        <w:spacing w:line="360" w:lineRule="auto"/>
      </w:pPr>
    </w:p>
    <w:p w14:paraId="449B3B07" w14:textId="3A91B7BD" w:rsidR="0093086E" w:rsidRPr="00BB5ADD" w:rsidRDefault="0093086E" w:rsidP="003A0B8D">
      <w:pPr>
        <w:spacing w:after="160" w:line="360" w:lineRule="auto"/>
      </w:pPr>
      <w:r w:rsidRPr="00BB5ADD">
        <w:t xml:space="preserve">The suggestion that COVID-19 anti-viral mRNA “vaccination” might have an unwarranted side-effect on the innate human immune system responsible for mediating bacterial infections is alarming and it is a finding that requires further </w:t>
      </w:r>
      <w:r w:rsidR="007B1376">
        <w:t xml:space="preserve">preclinical and clinical investigation.  In the Australian COVID-19 </w:t>
      </w:r>
      <w:r w:rsidR="008C57BE">
        <w:t>Inquiry, the term “Vaccine Associated Immunodeficiency Syndrome” was accepted and under investigation given concerns over higher rates of both common and unusual infections among those vaccinated for SARS-CoV-2.</w:t>
      </w:r>
    </w:p>
    <w:p w14:paraId="279ACD22" w14:textId="77777777" w:rsidR="00D635E6" w:rsidRPr="00F83225" w:rsidRDefault="00D635E6" w:rsidP="00337378">
      <w:pPr>
        <w:spacing w:line="360" w:lineRule="auto"/>
      </w:pPr>
    </w:p>
    <w:p w14:paraId="6DC190F4" w14:textId="48B1C5A5" w:rsidR="0093086E" w:rsidRPr="00F83225" w:rsidRDefault="00323CE4" w:rsidP="0093086E">
      <w:pPr>
        <w:spacing w:line="360" w:lineRule="auto"/>
      </w:pPr>
      <w:r>
        <w:t>Others have found increases</w:t>
      </w:r>
      <w:r w:rsidR="0093086E" w:rsidRPr="00F83225">
        <w:t xml:space="preserve"> in </w:t>
      </w:r>
      <w:r w:rsidR="000E0F64" w:rsidRPr="00F83225">
        <w:t>h</w:t>
      </w:r>
      <w:r w:rsidR="0093086E" w:rsidRPr="00F83225">
        <w:t>erpetic CNS infections, confirming our findings. A publication by Shafiee et al documents such evidence regarding reactivation of herpes viruses after receipt of the COVID-19 vaccine.</w:t>
      </w:r>
      <w:r w:rsidR="0093086E" w:rsidRPr="00F83225">
        <w:rPr>
          <w:vertAlign w:val="superscript"/>
        </w:rPr>
        <w:t xml:space="preserve">21 </w:t>
      </w:r>
      <w:r w:rsidR="0093086E" w:rsidRPr="00F83225">
        <w:t>The authors conducted a systematic search which included observational studies, case reports and series. Within the 80 articles meeting the eligibility criteria reporting herpes virus reactivation, results noted a reactivation of varicella-zoster virus of 14 persons per 1000 vaccinations (95% CI 2.97-32.80) and reactivation of herpes simplex virus of 16 persons per 1000 vaccinations (95% CI 1.06-46.4).  A noteworthy finding by Fathy et al observed an increase in dermatologic reactions after receiving a COVID-19 vaccination.</w:t>
      </w:r>
      <w:r w:rsidR="0093086E" w:rsidRPr="00F83225">
        <w:rPr>
          <w:vertAlign w:val="superscript"/>
        </w:rPr>
        <w:t>22</w:t>
      </w:r>
      <w:r w:rsidR="0093086E" w:rsidRPr="00F83225">
        <w:t xml:space="preserve"> The authors reviewed a national registry (American Academy of Dermatology and the International League of Dermatologic Societies’ COVID‐19 Dermatology Registry) and found 672 incidences of dermatologic reactions reports recorded by healthcare professionals (dermatologists, physicians and nurse practitioners) as of April 2021. Of the 672 reports, the authors reviewed the first 40 cases of varicella-zoster and herpes simplex virus reactivation reports and found that 77% occurred after the first COVID-19 vaccination. </w:t>
      </w:r>
    </w:p>
    <w:p w14:paraId="798B08C1" w14:textId="77777777" w:rsidR="0093086E" w:rsidRPr="00BB5ADD" w:rsidRDefault="0093086E" w:rsidP="00337378">
      <w:pPr>
        <w:spacing w:line="360" w:lineRule="auto"/>
      </w:pPr>
    </w:p>
    <w:p w14:paraId="39A3E347" w14:textId="12BF63B5" w:rsidR="00C378D9" w:rsidRPr="00BB5ADD" w:rsidRDefault="00C378D9" w:rsidP="00C378D9">
      <w:pPr>
        <w:spacing w:line="360" w:lineRule="auto"/>
      </w:pPr>
      <w:r w:rsidRPr="00BB5ADD">
        <w:lastRenderedPageBreak/>
        <w:t>Brain abscesses occur when a focal pocket of purulent material becomes encapsulated in the brain parenchyma resulting in tissue necrosis.  The vast majority of cases occur after a nearby pericranial infection, but a small number can also result via hematogenous spread from a distant site.</w:t>
      </w:r>
      <w:r w:rsidR="00FD0C93" w:rsidRPr="00BB5ADD">
        <w:rPr>
          <w:vertAlign w:val="superscript"/>
        </w:rPr>
        <w:t>23</w:t>
      </w:r>
      <w:r w:rsidRPr="00BB5ADD">
        <w:t xml:space="preserve"> Paranasal sinusitis is implicated in 30-50% of these cases.  Some 1500-2500 cases of brain abscess are diagnosed in the United States annually and this condition is more prevalent in patients with AIDS.</w:t>
      </w:r>
      <w:r w:rsidR="00C95666" w:rsidRPr="00BB5ADD">
        <w:rPr>
          <w:vertAlign w:val="superscript"/>
        </w:rPr>
        <w:t>24</w:t>
      </w:r>
      <w:r w:rsidR="007023F7">
        <w:t xml:space="preserve"> </w:t>
      </w:r>
      <w:r w:rsidRPr="00BB5ADD">
        <w:t>Like meningitis and encephalitis, this diagnosis carries a high mortality and disability rate.</w:t>
      </w:r>
    </w:p>
    <w:p w14:paraId="5394A9D6" w14:textId="77777777" w:rsidR="00C378D9" w:rsidRPr="00BB5ADD" w:rsidRDefault="00C378D9" w:rsidP="00C378D9">
      <w:pPr>
        <w:spacing w:line="360" w:lineRule="auto"/>
        <w:rPr>
          <w:lang w:val="en"/>
        </w:rPr>
      </w:pPr>
    </w:p>
    <w:p w14:paraId="5F52F1DC" w14:textId="5F61E905" w:rsidR="00C378D9" w:rsidRPr="00BB5ADD" w:rsidRDefault="00C378D9" w:rsidP="00C378D9">
      <w:pPr>
        <w:spacing w:line="360" w:lineRule="auto"/>
        <w:rPr>
          <w:lang w:val="en"/>
        </w:rPr>
      </w:pPr>
      <w:r w:rsidRPr="00BB5ADD">
        <w:rPr>
          <w:lang w:val="en"/>
        </w:rPr>
        <w:t>In the Morbidity and Mortality Weekly report of August 2022, the CDC noted an approximate 100% increase in brain abscesses across eight pediatric hospitals between 2020-2022.</w:t>
      </w:r>
      <w:r w:rsidR="00C95666" w:rsidRPr="00BB5ADD">
        <w:rPr>
          <w:vertAlign w:val="superscript"/>
          <w:lang w:val="en"/>
        </w:rPr>
        <w:t>25</w:t>
      </w:r>
      <w:r w:rsidR="007023F7">
        <w:rPr>
          <w:lang w:val="en"/>
        </w:rPr>
        <w:t xml:space="preserve"> </w:t>
      </w:r>
      <w:r w:rsidRPr="00BB5ADD">
        <w:rPr>
          <w:lang w:val="en"/>
        </w:rPr>
        <w:t>CNN covered an investigation in April 2023 out of Clark County, Nevada of an “alarming cluster of mysterious brain infections” in pediatric patients.  Notably the news anchor reported that prior to 2020, only 4 cases of brain abscesses were historically diagnosed annually.  In 2022 these numbers saw a dramatic increase to 18 cases diagnosed within the year.</w:t>
      </w:r>
      <w:r w:rsidR="00C95666" w:rsidRPr="00BB5ADD">
        <w:rPr>
          <w:vertAlign w:val="superscript"/>
          <w:lang w:val="en"/>
        </w:rPr>
        <w:t>26</w:t>
      </w:r>
      <w:r w:rsidRPr="00BB5ADD">
        <w:rPr>
          <w:lang w:val="en"/>
        </w:rPr>
        <w:t xml:space="preserve"> </w:t>
      </w:r>
    </w:p>
    <w:p w14:paraId="556A1E7D" w14:textId="77777777" w:rsidR="00C378D9" w:rsidRPr="00BB5ADD" w:rsidRDefault="00C378D9" w:rsidP="00337378">
      <w:pPr>
        <w:spacing w:line="360" w:lineRule="auto"/>
      </w:pPr>
    </w:p>
    <w:p w14:paraId="63D89445" w14:textId="17259B92" w:rsidR="00C378D9" w:rsidRPr="00BB5ADD" w:rsidRDefault="00C378D9" w:rsidP="00C378D9">
      <w:pPr>
        <w:spacing w:line="360" w:lineRule="auto"/>
        <w:rPr>
          <w:vertAlign w:val="superscript"/>
        </w:rPr>
      </w:pPr>
      <w:r w:rsidRPr="00BB5ADD">
        <w:t>Nerve demyelination occurs when the immune system is triggered to inappropriately attack the outside myelinated structures around the nerve cell axons in the CNS.  This results in a variety of debilitating diseases. When demyelination occurs after COVID-19 mRNA vaccination, it has been found to occur most often within 1-2 weeks of inoculation. However, delayed presentations have been documented to occur as far out as between 4 weeks and 5 months post-inoculation.</w:t>
      </w:r>
      <w:r w:rsidR="00C95666" w:rsidRPr="00BB5ADD">
        <w:rPr>
          <w:vertAlign w:val="superscript"/>
        </w:rPr>
        <w:t xml:space="preserve">27 </w:t>
      </w:r>
      <w:r w:rsidRPr="00BB5ADD">
        <w:t>A large global observational study evaluated 99 million vaccinated individuals and documented a 378% increased general risk for developing a devastating acute disseminated encephalomyelitis (ADEM) demyelination following COVID-19 mRNA “vaccination”.</w:t>
      </w:r>
      <w:r w:rsidR="00854B94" w:rsidRPr="00BB5ADD">
        <w:rPr>
          <w:vertAlign w:val="superscript"/>
        </w:rPr>
        <w:t xml:space="preserve">28 </w:t>
      </w:r>
    </w:p>
    <w:p w14:paraId="434F1CDC" w14:textId="77777777" w:rsidR="00C378D9" w:rsidRPr="00BB5ADD" w:rsidRDefault="00C378D9" w:rsidP="00337378">
      <w:pPr>
        <w:spacing w:line="360" w:lineRule="auto"/>
      </w:pPr>
    </w:p>
    <w:p w14:paraId="377D49E0" w14:textId="5F0F61A0" w:rsidR="00284A35" w:rsidRPr="00BB5ADD" w:rsidRDefault="00775A8E" w:rsidP="00337378">
      <w:pPr>
        <w:spacing w:line="360" w:lineRule="auto"/>
      </w:pPr>
      <w:r>
        <w:t>Th</w:t>
      </w:r>
      <w:r w:rsidR="00E20D17">
        <w:t>e</w:t>
      </w:r>
      <w:r>
        <w:t xml:space="preserve"> study, published by </w:t>
      </w:r>
      <w:r w:rsidR="00A86A56" w:rsidRPr="00BB5ADD">
        <w:t>Faksova et al</w:t>
      </w:r>
      <w:r>
        <w:t>,</w:t>
      </w:r>
      <w:r w:rsidR="00A86A56" w:rsidRPr="00BB5ADD">
        <w:t xml:space="preserve"> </w:t>
      </w:r>
      <w:r w:rsidR="007023F7">
        <w:t>examin</w:t>
      </w:r>
      <w:r>
        <w:t>ed</w:t>
      </w:r>
      <w:r w:rsidR="007023F7" w:rsidRPr="00BB5ADD">
        <w:t xml:space="preserve"> </w:t>
      </w:r>
      <w:r w:rsidR="00A86A56" w:rsidRPr="00BB5ADD">
        <w:t>the association between COVID-19 vaccines and adverse events of special interest</w:t>
      </w:r>
      <w:r w:rsidR="005E7255" w:rsidRPr="00BB5ADD">
        <w:t>.</w:t>
      </w:r>
      <w:r w:rsidR="00854B94" w:rsidRPr="00BB5ADD">
        <w:rPr>
          <w:vertAlign w:val="superscript"/>
        </w:rPr>
        <w:t>2</w:t>
      </w:r>
      <w:r>
        <w:rPr>
          <w:vertAlign w:val="superscript"/>
        </w:rPr>
        <w:t>8</w:t>
      </w:r>
      <w:r w:rsidR="007023F7">
        <w:rPr>
          <w:b/>
          <w:bCs/>
        </w:rPr>
        <w:t xml:space="preserve"> </w:t>
      </w:r>
      <w:r w:rsidR="00742272" w:rsidRPr="00BB5ADD">
        <w:t xml:space="preserve">This </w:t>
      </w:r>
      <w:r w:rsidR="004B5F64" w:rsidRPr="00BB5ADD">
        <w:t xml:space="preserve">CDC-funded </w:t>
      </w:r>
      <w:r w:rsidR="00104F28" w:rsidRPr="00BB5ADD">
        <w:t>global study utilized 10 sites in 8 countries and</w:t>
      </w:r>
      <w:r w:rsidR="00A86A56" w:rsidRPr="00BB5ADD">
        <w:t xml:space="preserve"> </w:t>
      </w:r>
      <w:r w:rsidR="00104F28" w:rsidRPr="00BB5ADD">
        <w:t xml:space="preserve">reviewed data </w:t>
      </w:r>
      <w:r w:rsidR="00A86A56" w:rsidRPr="00BB5ADD">
        <w:t xml:space="preserve">of 99 million </w:t>
      </w:r>
      <w:r w:rsidR="00A46DB0" w:rsidRPr="00BB5ADD">
        <w:t xml:space="preserve">vaccinated </w:t>
      </w:r>
      <w:r w:rsidR="00104F28" w:rsidRPr="00BB5ADD">
        <w:t>participants obtained from the Global COVID Vaccine Safety (GCoVS) Project. The authors found</w:t>
      </w:r>
      <w:r w:rsidR="00F1664B" w:rsidRPr="00BB5ADD">
        <w:t xml:space="preserve"> statistically significan</w:t>
      </w:r>
      <w:r w:rsidR="00FC3DCA" w:rsidRPr="00BB5ADD">
        <w:t>t</w:t>
      </w:r>
      <w:r w:rsidR="00104F28" w:rsidRPr="00BB5ADD">
        <w:t xml:space="preserve"> safety signals for </w:t>
      </w:r>
      <w:r w:rsidR="00F1664B" w:rsidRPr="00BB5ADD">
        <w:t>acute disseminated encephalomyelitis and transverse myelitis</w:t>
      </w:r>
      <w:r w:rsidR="00FC3DCA" w:rsidRPr="00BB5ADD">
        <w:t>,</w:t>
      </w:r>
      <w:r w:rsidR="00F1664B" w:rsidRPr="00BB5ADD">
        <w:t xml:space="preserve"> among others. </w:t>
      </w:r>
    </w:p>
    <w:p w14:paraId="7A493A8D" w14:textId="77777777" w:rsidR="00CE1D5E" w:rsidRPr="00BB5ADD" w:rsidRDefault="00CE1D5E" w:rsidP="00337378">
      <w:pPr>
        <w:spacing w:line="360" w:lineRule="auto"/>
      </w:pPr>
    </w:p>
    <w:p w14:paraId="2CFAA384" w14:textId="14002756" w:rsidR="00CE1D5E" w:rsidRPr="00BB5ADD" w:rsidRDefault="00CE1D5E" w:rsidP="00337378">
      <w:pPr>
        <w:spacing w:line="360" w:lineRule="auto"/>
        <w:rPr>
          <w:kern w:val="2"/>
          <w:shd w:val="clear" w:color="auto" w:fill="FFFFFF"/>
          <w:vertAlign w:val="superscript"/>
          <w14:ligatures w14:val="standardContextual"/>
        </w:rPr>
      </w:pPr>
      <w:r w:rsidRPr="00BB5ADD">
        <w:lastRenderedPageBreak/>
        <w:t xml:space="preserve">CNS prion diseases cause rapid and terminal neurodegeneration as a result of the accumulation of abnormal folding of proteins. </w:t>
      </w:r>
      <w:r w:rsidRPr="00BB5ADD">
        <w:rPr>
          <w:kern w:val="2"/>
          <w:shd w:val="clear" w:color="auto" w:fill="FFFFFF"/>
          <w14:ligatures w14:val="standardContextual"/>
        </w:rPr>
        <w:t xml:space="preserve">The proteins change from a loose, uncompiled form into precisely organized, self-arranging, composite entities. </w:t>
      </w:r>
      <w:r w:rsidRPr="00BB5ADD">
        <w:t xml:space="preserve">These </w:t>
      </w:r>
      <w:r w:rsidR="007023F7">
        <w:t xml:space="preserve">devastating </w:t>
      </w:r>
      <w:r w:rsidRPr="00BB5ADD">
        <w:t>cases are extremely rare with only roughly 300 cases reported in the US each year.</w:t>
      </w:r>
      <w:r w:rsidR="0019218A">
        <w:rPr>
          <w:vertAlign w:val="superscript"/>
        </w:rPr>
        <w:t>29</w:t>
      </w:r>
      <w:r w:rsidR="007023F7">
        <w:t xml:space="preserve"> </w:t>
      </w:r>
      <w:r w:rsidRPr="00BB5ADD">
        <w:t>At present there are only two well documented types of CNS prion disease, the classical PrP</w:t>
      </w:r>
      <w:r w:rsidRPr="00BB5ADD">
        <w:rPr>
          <w:vertAlign w:val="superscript"/>
        </w:rPr>
        <w:t xml:space="preserve">sc </w:t>
      </w:r>
      <w:r w:rsidRPr="00BB5ADD">
        <w:t xml:space="preserve">protein involved in both CJD and variant “Mad Cow Disease” and a recently outlined </w:t>
      </w:r>
      <w:r w:rsidRPr="00BB5ADD">
        <w:rPr>
          <w:kern w:val="2"/>
          <w:shd w:val="clear" w:color="auto" w:fill="FFFFFF"/>
          <w14:ligatures w14:val="standardContextual"/>
        </w:rPr>
        <w:t>α-synuclein CNS amyloid variant.</w:t>
      </w:r>
      <w:r w:rsidRPr="00BB5ADD">
        <w:rPr>
          <w:kern w:val="2"/>
          <w:shd w:val="clear" w:color="auto" w:fill="FFFFFF"/>
          <w:vertAlign w:val="superscript"/>
          <w14:ligatures w14:val="standardContextual"/>
        </w:rPr>
        <w:t>3</w:t>
      </w:r>
      <w:r w:rsidR="0019218A">
        <w:rPr>
          <w:kern w:val="2"/>
          <w:shd w:val="clear" w:color="auto" w:fill="FFFFFF"/>
          <w:vertAlign w:val="superscript"/>
          <w14:ligatures w14:val="standardContextual"/>
        </w:rPr>
        <w:t>0</w:t>
      </w:r>
      <w:r w:rsidRPr="00BB5ADD">
        <w:rPr>
          <w:kern w:val="2"/>
          <w:shd w:val="clear" w:color="auto" w:fill="FFFFFF"/>
          <w:vertAlign w:val="superscript"/>
          <w14:ligatures w14:val="standardContextual"/>
        </w:rPr>
        <w:t xml:space="preserve"> </w:t>
      </w:r>
    </w:p>
    <w:p w14:paraId="252DFAFA" w14:textId="77777777" w:rsidR="00CE1D5E" w:rsidRPr="00BB5ADD" w:rsidRDefault="00CE1D5E" w:rsidP="00337378">
      <w:pPr>
        <w:spacing w:line="360" w:lineRule="auto"/>
        <w:rPr>
          <w:kern w:val="2"/>
          <w:shd w:val="clear" w:color="auto" w:fill="FFFFFF"/>
          <w:vertAlign w:val="superscript"/>
          <w14:ligatures w14:val="standardContextual"/>
        </w:rPr>
      </w:pPr>
    </w:p>
    <w:p w14:paraId="66B81B8A" w14:textId="6325923B" w:rsidR="00D405F7" w:rsidRPr="00BB5ADD" w:rsidRDefault="00CE1D5E" w:rsidP="00337378">
      <w:pPr>
        <w:spacing w:line="360" w:lineRule="auto"/>
      </w:pPr>
      <w:r w:rsidRPr="00BB5ADD">
        <w:rPr>
          <w:kern w:val="2"/>
          <w:shd w:val="clear" w:color="auto" w:fill="FFFFFF"/>
          <w14:ligatures w14:val="standardContextual"/>
        </w:rPr>
        <w:t>Some researchers such as Tetz and Tetz</w:t>
      </w:r>
      <w:r w:rsidRPr="00BB5ADD">
        <w:rPr>
          <w:kern w:val="2"/>
          <w:shd w:val="clear" w:color="auto" w:fill="FFFFFF"/>
          <w:vertAlign w:val="superscript"/>
          <w14:ligatures w14:val="standardContextual"/>
        </w:rPr>
        <w:t>3</w:t>
      </w:r>
      <w:r w:rsidR="0019218A">
        <w:rPr>
          <w:kern w:val="2"/>
          <w:shd w:val="clear" w:color="auto" w:fill="FFFFFF"/>
          <w:vertAlign w:val="superscript"/>
          <w14:ligatures w14:val="standardContextual"/>
        </w:rPr>
        <w:t>1</w:t>
      </w:r>
      <w:r w:rsidR="007023F7">
        <w:rPr>
          <w:kern w:val="2"/>
          <w:shd w:val="clear" w:color="auto" w:fill="FFFFFF"/>
          <w:vertAlign w:val="superscript"/>
          <w14:ligatures w14:val="standardContextual"/>
        </w:rPr>
        <w:t xml:space="preserve"> </w:t>
      </w:r>
      <w:r w:rsidR="007023F7">
        <w:rPr>
          <w:kern w:val="2"/>
          <w:shd w:val="clear" w:color="auto" w:fill="FFFFFF"/>
          <w14:ligatures w14:val="standardContextual"/>
        </w:rPr>
        <w:t>and</w:t>
      </w:r>
      <w:r w:rsidRPr="00BB5ADD">
        <w:rPr>
          <w:kern w:val="2"/>
          <w:shd w:val="clear" w:color="auto" w:fill="FFFFFF"/>
          <w14:ligatures w14:val="standardContextual"/>
        </w:rPr>
        <w:t xml:space="preserve"> Seneff and Nigh</w:t>
      </w:r>
      <w:r w:rsidRPr="00BB5ADD">
        <w:rPr>
          <w:kern w:val="2"/>
          <w:shd w:val="clear" w:color="auto" w:fill="FFFFFF"/>
          <w:vertAlign w:val="superscript"/>
          <w14:ligatures w14:val="standardContextual"/>
        </w:rPr>
        <w:t>3</w:t>
      </w:r>
      <w:r w:rsidR="0019218A">
        <w:rPr>
          <w:kern w:val="2"/>
          <w:shd w:val="clear" w:color="auto" w:fill="FFFFFF"/>
          <w:vertAlign w:val="superscript"/>
          <w14:ligatures w14:val="standardContextual"/>
        </w:rPr>
        <w:t>2</w:t>
      </w:r>
      <w:r w:rsidRPr="00BB5ADD">
        <w:rPr>
          <w:kern w:val="2"/>
          <w:shd w:val="clear" w:color="auto" w:fill="FFFFFF"/>
          <w14:ligatures w14:val="standardContextual"/>
        </w:rPr>
        <w:t xml:space="preserve"> suggest a link between COVID-19 vaccination and the onset of CJD due to prion development.</w:t>
      </w:r>
      <w:r w:rsidRPr="00BB5ADD">
        <w:rPr>
          <w:kern w:val="2"/>
          <w:shd w:val="clear" w:color="auto" w:fill="FFFFFF"/>
          <w:vertAlign w:val="superscript"/>
          <w14:ligatures w14:val="standardContextual"/>
        </w:rPr>
        <w:t xml:space="preserve"> </w:t>
      </w:r>
      <w:r w:rsidRPr="00BB5ADD">
        <w:rPr>
          <w:kern w:val="2"/>
          <w:shd w:val="clear" w:color="auto" w:fill="FFFFFF"/>
          <w14:ligatures w14:val="standardContextual"/>
        </w:rPr>
        <w:t>They note that both the COVID-19 vaccine and the SARS-COV-2 virus itself include spike proteins with prion-like regions.</w:t>
      </w:r>
      <w:r w:rsidRPr="00BB5ADD">
        <w:rPr>
          <w:kern w:val="2"/>
          <w:shd w:val="clear" w:color="auto" w:fill="FFFFFF"/>
          <w:vertAlign w:val="superscript"/>
          <w14:ligatures w14:val="standardContextual"/>
        </w:rPr>
        <w:t xml:space="preserve">  </w:t>
      </w:r>
      <w:r w:rsidRPr="00BB5ADD">
        <w:rPr>
          <w:kern w:val="2"/>
          <w:shd w:val="clear" w:color="auto" w:fill="FFFFFF"/>
          <w14:ligatures w14:val="standardContextual"/>
        </w:rPr>
        <w:t>Seneff and Nigh observe that prion-related illnesses may be hastened due to a specific pattern in the COVID-19 mRNA vaccine known as a “GxxxG” motif, a three-amino acid sequence surrounded by glycine residue which may promote the abnormal folding of the protein into the organized entities mentioned above.</w:t>
      </w:r>
      <w:r w:rsidRPr="00BB5ADD">
        <w:rPr>
          <w:kern w:val="2"/>
          <w:shd w:val="clear" w:color="auto" w:fill="FFFFFF"/>
          <w:vertAlign w:val="superscript"/>
          <w14:ligatures w14:val="standardContextual"/>
        </w:rPr>
        <w:t>3</w:t>
      </w:r>
      <w:r w:rsidR="0019218A">
        <w:rPr>
          <w:kern w:val="2"/>
          <w:shd w:val="clear" w:color="auto" w:fill="FFFFFF"/>
          <w:vertAlign w:val="superscript"/>
          <w14:ligatures w14:val="standardContextual"/>
        </w:rPr>
        <w:t>2</w:t>
      </w:r>
      <w:r w:rsidRPr="00BB5ADD">
        <w:rPr>
          <w:kern w:val="2"/>
          <w:shd w:val="clear" w:color="auto" w:fill="FFFFFF"/>
          <w14:ligatures w14:val="standardContextual"/>
        </w:rPr>
        <w:t xml:space="preserve"> Thorp and colleagues not only reaffirm the previously discussed hypothesis but also introduce an additional theory linking COVID-19 infection and/or vaccination to an energy-depleted physiological state. They suggest that such a state may impair intracellular energy dynamics, potentially exacerbating the development of protein misfolding disorders such as Creutzfeldt-Jakob disease (CJD).</w:t>
      </w:r>
      <w:r w:rsidR="00854B94" w:rsidRPr="00BB5ADD">
        <w:rPr>
          <w:kern w:val="2"/>
          <w:shd w:val="clear" w:color="auto" w:fill="FFFFFF"/>
          <w:vertAlign w:val="superscript"/>
          <w14:ligatures w14:val="standardContextual"/>
        </w:rPr>
        <w:t>3</w:t>
      </w:r>
      <w:r w:rsidR="0019218A">
        <w:rPr>
          <w:kern w:val="2"/>
          <w:shd w:val="clear" w:color="auto" w:fill="FFFFFF"/>
          <w:vertAlign w:val="superscript"/>
          <w14:ligatures w14:val="standardContextual"/>
        </w:rPr>
        <w:t>3</w:t>
      </w:r>
    </w:p>
    <w:p w14:paraId="3BDB828B" w14:textId="77777777" w:rsidR="0086249D" w:rsidRPr="00BB5ADD" w:rsidRDefault="0086249D" w:rsidP="00337378">
      <w:pPr>
        <w:spacing w:line="360" w:lineRule="auto"/>
      </w:pPr>
    </w:p>
    <w:p w14:paraId="601C7F8E" w14:textId="0273BD29" w:rsidR="006270CB" w:rsidRPr="00BB5ADD" w:rsidRDefault="00B86D6F" w:rsidP="00337378">
      <w:pPr>
        <w:spacing w:line="360" w:lineRule="auto"/>
      </w:pPr>
      <w:r w:rsidRPr="00BB5ADD">
        <w:t xml:space="preserve">Historically, </w:t>
      </w:r>
      <w:r w:rsidR="00E74077" w:rsidRPr="00BB5ADD">
        <w:t xml:space="preserve">the </w:t>
      </w:r>
      <w:r w:rsidRPr="00BB5ADD">
        <w:t xml:space="preserve">progression of </w:t>
      </w:r>
      <w:r w:rsidR="00ED2609" w:rsidRPr="00BB5ADD">
        <w:t>classical CJD</w:t>
      </w:r>
      <w:r w:rsidR="00E74077" w:rsidRPr="00BB5ADD">
        <w:t xml:space="preserve"> </w:t>
      </w:r>
      <w:r w:rsidRPr="00BB5ADD">
        <w:t>typically</w:t>
      </w:r>
      <w:r w:rsidR="00ED2609" w:rsidRPr="00BB5ADD">
        <w:t xml:space="preserve"> takes</w:t>
      </w:r>
      <w:r w:rsidRPr="00BB5ADD">
        <w:t xml:space="preserve"> a decade or more to become symptomatic, followed by a short (&lt; 3</w:t>
      </w:r>
      <w:r w:rsidR="00097479" w:rsidRPr="00BB5ADD">
        <w:t xml:space="preserve"> </w:t>
      </w:r>
      <w:r w:rsidRPr="00BB5ADD">
        <w:t>y</w:t>
      </w:r>
      <w:r w:rsidR="00D9648D" w:rsidRPr="00BB5ADD">
        <w:t>ear</w:t>
      </w:r>
      <w:r w:rsidRPr="00BB5ADD">
        <w:t>s) symptomatic period prior to death.</w:t>
      </w:r>
      <w:r w:rsidR="0097095B" w:rsidRPr="00BB5ADD">
        <w:rPr>
          <w:vertAlign w:val="superscript"/>
        </w:rPr>
        <w:t>4</w:t>
      </w:r>
    </w:p>
    <w:p w14:paraId="3C5FA9E5" w14:textId="466E6934" w:rsidR="00D218AD" w:rsidRPr="00BB5ADD" w:rsidRDefault="00DB4255" w:rsidP="00337378">
      <w:pPr>
        <w:spacing w:line="360" w:lineRule="auto"/>
      </w:pPr>
      <w:r w:rsidRPr="00BB5ADD">
        <w:t>However,</w:t>
      </w:r>
      <w:r w:rsidR="008A557E" w:rsidRPr="00BB5ADD">
        <w:t xml:space="preserve"> in 2021</w:t>
      </w:r>
      <w:r w:rsidR="00F83FA0" w:rsidRPr="00BB5ADD">
        <w:t>,</w:t>
      </w:r>
      <w:r w:rsidR="00CC11A6" w:rsidRPr="00BB5ADD">
        <w:t xml:space="preserve"> Nobel Prize laureate Luc Montagnier and colleagues reported 26 cases of </w:t>
      </w:r>
      <w:r w:rsidR="00ED2609" w:rsidRPr="00BB5ADD">
        <w:t xml:space="preserve">apparent </w:t>
      </w:r>
      <w:r w:rsidR="00F83FA0" w:rsidRPr="00BB5ADD">
        <w:t>Creutzfeldt</w:t>
      </w:r>
      <w:r w:rsidR="00CC11A6" w:rsidRPr="00BB5ADD">
        <w:t xml:space="preserve">-Jacob </w:t>
      </w:r>
      <w:r w:rsidR="005E7255" w:rsidRPr="00BB5ADD">
        <w:t>d</w:t>
      </w:r>
      <w:r w:rsidR="00CC11A6" w:rsidRPr="00BB5ADD">
        <w:t xml:space="preserve">isease, with symptoms beginning approximately 11 days </w:t>
      </w:r>
      <w:r w:rsidR="008A557E" w:rsidRPr="00BB5ADD">
        <w:t>after</w:t>
      </w:r>
      <w:r w:rsidR="00CC11A6" w:rsidRPr="00BB5ADD">
        <w:t xml:space="preserve"> a Pfizer, Moderna, or AstraZeneca Covid-19 vaccine.  </w:t>
      </w:r>
      <w:r w:rsidR="008A557E" w:rsidRPr="00BB5ADD">
        <w:t>Twenty</w:t>
      </w:r>
      <w:r w:rsidR="00CC11A6" w:rsidRPr="00BB5ADD">
        <w:t xml:space="preserve"> of the 26 individuals were deceased within 4.76 months after the vaccination.</w:t>
      </w:r>
      <w:r w:rsidR="0097095B" w:rsidRPr="00BB5ADD">
        <w:rPr>
          <w:vertAlign w:val="superscript"/>
        </w:rPr>
        <w:t>4</w:t>
      </w:r>
      <w:r w:rsidR="007023F7">
        <w:t xml:space="preserve"> </w:t>
      </w:r>
      <w:r w:rsidR="00915BE7" w:rsidRPr="00BB5ADD">
        <w:t xml:space="preserve">Unfortunately, </w:t>
      </w:r>
      <w:r w:rsidR="005E7255" w:rsidRPr="00BB5ADD">
        <w:t xml:space="preserve">a confirmatory diagnosis was not made using </w:t>
      </w:r>
      <w:r w:rsidR="00915BE7" w:rsidRPr="00BB5ADD">
        <w:t>classic histology</w:t>
      </w:r>
      <w:r w:rsidR="008A557E" w:rsidRPr="00BB5ADD">
        <w:t xml:space="preserve">, and brain tissues were never stained for the COVID-19 spike protein. This </w:t>
      </w:r>
      <w:r w:rsidR="005E7255" w:rsidRPr="00BB5ADD">
        <w:t xml:space="preserve">results in </w:t>
      </w:r>
      <w:r w:rsidR="008A557E" w:rsidRPr="00BB5ADD">
        <w:t>uncertain</w:t>
      </w:r>
      <w:r w:rsidR="005E7255" w:rsidRPr="00BB5ADD">
        <w:t>ty as to whether</w:t>
      </w:r>
      <w:r w:rsidR="008A557E" w:rsidRPr="00BB5ADD">
        <w:t xml:space="preserve"> a cytokine-driven inflammation </w:t>
      </w:r>
      <w:r w:rsidR="00CE0341" w:rsidRPr="00BB5ADD">
        <w:t>directed against</w:t>
      </w:r>
      <w:r w:rsidR="008A557E" w:rsidRPr="00BB5ADD">
        <w:t xml:space="preserve"> the </w:t>
      </w:r>
      <w:r w:rsidR="00553106" w:rsidRPr="00BB5ADD">
        <w:t xml:space="preserve">mRNA </w:t>
      </w:r>
      <w:r w:rsidR="008A557E" w:rsidRPr="00BB5ADD">
        <w:t xml:space="preserve">vaccine-generated spike protein in the CNS </w:t>
      </w:r>
      <w:r w:rsidR="00ED2609" w:rsidRPr="00BB5ADD">
        <w:t>drove the</w:t>
      </w:r>
      <w:r w:rsidR="008A557E" w:rsidRPr="00BB5ADD">
        <w:t xml:space="preserve"> acceleration of a </w:t>
      </w:r>
      <w:r w:rsidR="00CE0341" w:rsidRPr="00BB5ADD">
        <w:t xml:space="preserve">very early </w:t>
      </w:r>
      <w:r w:rsidR="008A557E" w:rsidRPr="00BB5ADD">
        <w:t>pre-existing</w:t>
      </w:r>
      <w:r w:rsidR="00ED2609" w:rsidRPr="00BB5ADD">
        <w:t xml:space="preserve"> </w:t>
      </w:r>
      <w:r w:rsidR="008A557E" w:rsidRPr="00BB5ADD">
        <w:t>CJD, or if abnormal amyloid deposits of the vaccine-induced spike protein</w:t>
      </w:r>
      <w:r w:rsidR="00ED2609" w:rsidRPr="00BB5ADD">
        <w:t xml:space="preserve"> itself</w:t>
      </w:r>
      <w:r w:rsidR="008A557E" w:rsidRPr="00BB5ADD">
        <w:t xml:space="preserve"> in the </w:t>
      </w:r>
      <w:r w:rsidR="00553106" w:rsidRPr="00BB5ADD">
        <w:t>brain</w:t>
      </w:r>
      <w:r w:rsidR="008A557E" w:rsidRPr="00BB5ADD">
        <w:t xml:space="preserve"> </w:t>
      </w:r>
      <w:r w:rsidR="00553106" w:rsidRPr="00BB5ADD">
        <w:t>were causing</w:t>
      </w:r>
      <w:r w:rsidR="008A557E" w:rsidRPr="00BB5ADD">
        <w:t xml:space="preserve"> a clinically similar presentation.</w:t>
      </w:r>
      <w:r w:rsidR="00553106" w:rsidRPr="00BB5ADD">
        <w:t xml:space="preserve"> The matter remains unresolved at this time.</w:t>
      </w:r>
    </w:p>
    <w:p w14:paraId="4DB07A1D" w14:textId="501CE961" w:rsidR="001019ED" w:rsidRPr="00BB5ADD" w:rsidRDefault="001019ED" w:rsidP="00337378">
      <w:pPr>
        <w:spacing w:line="360" w:lineRule="auto"/>
      </w:pPr>
    </w:p>
    <w:p w14:paraId="1BB7AE62" w14:textId="705FFDB0" w:rsidR="001019ED" w:rsidRPr="00BB5ADD" w:rsidRDefault="001019ED" w:rsidP="00337378">
      <w:pPr>
        <w:spacing w:line="360" w:lineRule="auto"/>
      </w:pPr>
      <w:r w:rsidRPr="00BB5ADD">
        <w:lastRenderedPageBreak/>
        <w:t>In addition to their observations on prion disease and CJD, Thorp et al highlight alarming safety signals related to neuropsychiatric outcomes following COVID-19 vaccination, particularly when compared to both the influenza vaccine and all vaccines combined.</w:t>
      </w:r>
      <w:r w:rsidR="00854B94" w:rsidRPr="00BB5ADD">
        <w:rPr>
          <w:vertAlign w:val="superscript"/>
        </w:rPr>
        <w:t>3</w:t>
      </w:r>
      <w:r w:rsidR="0019218A">
        <w:rPr>
          <w:vertAlign w:val="superscript"/>
        </w:rPr>
        <w:t>4</w:t>
      </w:r>
      <w:r w:rsidR="007023F7">
        <w:t xml:space="preserve"> </w:t>
      </w:r>
      <w:r w:rsidRPr="00BB5ADD">
        <w:t>Their analysis focused on 47 adverse events reported in VAERS, and categorized into cognitive decline, psychiatric disorders, and suicidal/homicidal behavior groupings. A few notable symptoms included acute psychosis, brain fog, dementia, homicidal ideation, mania, panic attacks, schizophrenia, and suicidal ideation. Based on these findings, the authors raise significant concerns about potential long-term neuropsychiatric effects associated with the COVID-19 vaccine.</w:t>
      </w:r>
    </w:p>
    <w:p w14:paraId="32EA2012" w14:textId="77777777" w:rsidR="00CE1D5E" w:rsidRPr="00BB5ADD" w:rsidRDefault="00CE1D5E" w:rsidP="00337378">
      <w:pPr>
        <w:spacing w:line="360" w:lineRule="auto"/>
      </w:pPr>
    </w:p>
    <w:p w14:paraId="64603E5A" w14:textId="310F1BE4" w:rsidR="00CE1D5E" w:rsidRPr="00BB5ADD" w:rsidRDefault="00CE1D5E" w:rsidP="00CE1D5E">
      <w:pPr>
        <w:spacing w:line="360" w:lineRule="auto"/>
      </w:pPr>
      <w:r w:rsidRPr="00BB5ADD">
        <w:t>A case series published by Ballout et al review the findings of new onset CNS inflammatory disorders temporally associated with the COVID-19 vaccines.</w:t>
      </w:r>
      <w:r w:rsidR="00854B94" w:rsidRPr="00BB5ADD">
        <w:rPr>
          <w:vertAlign w:val="superscript"/>
        </w:rPr>
        <w:t>3</w:t>
      </w:r>
      <w:r w:rsidR="0019218A">
        <w:rPr>
          <w:vertAlign w:val="superscript"/>
        </w:rPr>
        <w:t>5</w:t>
      </w:r>
      <w:r w:rsidRPr="00BB5ADD">
        <w:t xml:space="preserve"> It should be noted that the temporality, strength of association, consistency, specificity, coherence, and biological plausibility demonstrated in these findings fulfill six of the nine Bradford Hills criteria for causation.</w:t>
      </w:r>
      <w:r w:rsidR="00D0191A" w:rsidRPr="00BB5ADD">
        <w:rPr>
          <w:vertAlign w:val="superscript"/>
        </w:rPr>
        <w:t>3</w:t>
      </w:r>
      <w:r w:rsidR="0019218A">
        <w:rPr>
          <w:vertAlign w:val="superscript"/>
        </w:rPr>
        <w:t>6</w:t>
      </w:r>
      <w:r w:rsidR="007023F7">
        <w:t xml:space="preserve"> </w:t>
      </w:r>
      <w:r w:rsidRPr="00BB5ADD">
        <w:t>The authors studied 5 patients all of whom were part of a single health system comprised of 23 hospitals. All 5 patients developed a new onset CNS condition within 2 weeks of receipt of a COVID-19 vaccine (all mRNA-based), including 1 fatal case of acute disseminated encephalitis and 1 diagnosis of meningoencephalitis. Although the sample size is small, the temporal association between vaccine administration and the onset of these rare conditions must be considered.</w:t>
      </w:r>
    </w:p>
    <w:p w14:paraId="1C9F7C1F" w14:textId="77777777" w:rsidR="00CE1D5E" w:rsidRPr="00BB5ADD" w:rsidRDefault="00CE1D5E" w:rsidP="00337378">
      <w:pPr>
        <w:spacing w:line="360" w:lineRule="auto"/>
        <w:rPr>
          <w:u w:val="single"/>
          <w:lang w:val="en"/>
        </w:rPr>
      </w:pPr>
    </w:p>
    <w:p w14:paraId="1254CF6D" w14:textId="77777777" w:rsidR="00D218AD" w:rsidRPr="00BB5ADD" w:rsidRDefault="00D218AD" w:rsidP="00337378">
      <w:pPr>
        <w:spacing w:line="360" w:lineRule="auto"/>
        <w:rPr>
          <w:lang w:val="en"/>
        </w:rPr>
      </w:pPr>
    </w:p>
    <w:p w14:paraId="7E7645CF" w14:textId="08B30E92" w:rsidR="008716B0" w:rsidRPr="00BB5ADD" w:rsidRDefault="00915BE7" w:rsidP="00CF3785">
      <w:pPr>
        <w:spacing w:line="360" w:lineRule="auto"/>
        <w:jc w:val="center"/>
        <w:rPr>
          <w:sz w:val="28"/>
          <w:szCs w:val="28"/>
          <w:lang w:val="en"/>
        </w:rPr>
      </w:pPr>
      <w:r w:rsidRPr="00BB5ADD">
        <w:rPr>
          <w:b/>
          <w:bCs/>
        </w:rPr>
        <w:t>Summary</w:t>
      </w:r>
      <w:r w:rsidR="00A95FBA" w:rsidRPr="00BB5ADD">
        <w:rPr>
          <w:b/>
          <w:bCs/>
        </w:rPr>
        <w:t xml:space="preserve"> and Conclusions</w:t>
      </w:r>
    </w:p>
    <w:p w14:paraId="6A694011" w14:textId="471B00E0" w:rsidR="008716B0" w:rsidRPr="00BB5ADD" w:rsidRDefault="008716B0" w:rsidP="008716B0">
      <w:pPr>
        <w:spacing w:line="360" w:lineRule="auto"/>
      </w:pPr>
      <w:r w:rsidRPr="00BB5ADD">
        <w:t xml:space="preserve">The COVID-19 mRNA “vaccines” </w:t>
      </w:r>
      <w:r w:rsidRPr="00BB5ADD">
        <w:rPr>
          <w:shd w:val="clear" w:color="auto" w:fill="FFFFFF"/>
        </w:rPr>
        <w:t xml:space="preserve">are now </w:t>
      </w:r>
      <w:r w:rsidR="00ED2609" w:rsidRPr="00BB5ADD">
        <w:rPr>
          <w:shd w:val="clear" w:color="auto" w:fill="FFFFFF"/>
        </w:rPr>
        <w:t>know</w:t>
      </w:r>
      <w:r w:rsidR="003C6F6E" w:rsidRPr="00BB5ADD">
        <w:rPr>
          <w:shd w:val="clear" w:color="auto" w:fill="FFFFFF"/>
        </w:rPr>
        <w:t>n</w:t>
      </w:r>
      <w:r w:rsidRPr="00BB5ADD">
        <w:rPr>
          <w:shd w:val="clear" w:color="auto" w:fill="FFFFFF"/>
        </w:rPr>
        <w:t xml:space="preserve"> to downregulate </w:t>
      </w:r>
      <w:proofErr w:type="gramStart"/>
      <w:r w:rsidR="00ED2609" w:rsidRPr="00BB5ADD">
        <w:rPr>
          <w:shd w:val="clear" w:color="auto" w:fill="FFFFFF"/>
        </w:rPr>
        <w:t>a number of</w:t>
      </w:r>
      <w:proofErr w:type="gramEnd"/>
      <w:r w:rsidR="00ED2609" w:rsidRPr="00BB5ADD">
        <w:rPr>
          <w:shd w:val="clear" w:color="auto" w:fill="FFFFFF"/>
        </w:rPr>
        <w:t xml:space="preserve"> </w:t>
      </w:r>
      <w:r w:rsidRPr="00BB5ADD">
        <w:rPr>
          <w:shd w:val="clear" w:color="auto" w:fill="FFFFFF"/>
        </w:rPr>
        <w:t>critical pathways related to</w:t>
      </w:r>
      <w:r w:rsidR="003D5051">
        <w:rPr>
          <w:shd w:val="clear" w:color="auto" w:fill="FFFFFF"/>
        </w:rPr>
        <w:t xml:space="preserve"> </w:t>
      </w:r>
      <w:r w:rsidRPr="00BB5ADD">
        <w:rPr>
          <w:shd w:val="clear" w:color="auto" w:fill="FFFFFF"/>
        </w:rPr>
        <w:t>infection control</w:t>
      </w:r>
      <w:r w:rsidR="00AC1992">
        <w:rPr>
          <w:shd w:val="clear" w:color="auto" w:fill="FFFFFF"/>
        </w:rPr>
        <w:t xml:space="preserve"> </w:t>
      </w:r>
      <w:r w:rsidRPr="00BB5ADD">
        <w:rPr>
          <w:shd w:val="clear" w:color="auto" w:fill="FFFFFF"/>
        </w:rPr>
        <w:t>and cellular homeostasis.</w:t>
      </w:r>
      <w:r w:rsidR="00854B94" w:rsidRPr="00BB5ADD">
        <w:rPr>
          <w:shd w:val="clear" w:color="auto" w:fill="FFFFFF"/>
          <w:vertAlign w:val="superscript"/>
        </w:rPr>
        <w:t>3</w:t>
      </w:r>
      <w:r w:rsidR="0019218A">
        <w:rPr>
          <w:shd w:val="clear" w:color="auto" w:fill="FFFFFF"/>
          <w:vertAlign w:val="superscript"/>
        </w:rPr>
        <w:t>7</w:t>
      </w:r>
      <w:r w:rsidR="00854B94" w:rsidRPr="00BB5ADD">
        <w:rPr>
          <w:shd w:val="clear" w:color="auto" w:fill="FFFFFF"/>
        </w:rPr>
        <w:t xml:space="preserve"> </w:t>
      </w:r>
      <w:r w:rsidRPr="00BB5ADD">
        <w:rPr>
          <w:shd w:val="clear" w:color="auto" w:fill="FFFFFF"/>
        </w:rPr>
        <w:t xml:space="preserve">  </w:t>
      </w:r>
      <w:r w:rsidR="0067235D">
        <w:rPr>
          <w:shd w:val="clear" w:color="auto" w:fill="FFFFFF"/>
        </w:rPr>
        <w:t>Capillary endothelial mRNA and spike protein likely disrupt the BBB and in certain individuals,</w:t>
      </w:r>
      <w:r w:rsidR="0097500C">
        <w:rPr>
          <w:shd w:val="clear" w:color="auto" w:fill="FFFFFF"/>
        </w:rPr>
        <w:t xml:space="preserve"> increase the risk for devastating CNS infections</w:t>
      </w:r>
      <w:r w:rsidR="0097500C">
        <w:t xml:space="preserve">.  We found an </w:t>
      </w:r>
      <w:r w:rsidRPr="00BB5ADD">
        <w:t>increase</w:t>
      </w:r>
      <w:r w:rsidR="00CE0341" w:rsidRPr="00BB5ADD">
        <w:t xml:space="preserve"> in the</w:t>
      </w:r>
      <w:r w:rsidRPr="00BB5ADD">
        <w:t xml:space="preserve"> incidence </w:t>
      </w:r>
      <w:r w:rsidR="00BA4802" w:rsidRPr="00BB5ADD">
        <w:t>of life</w:t>
      </w:r>
      <w:r w:rsidR="00A95FBA" w:rsidRPr="00BB5ADD">
        <w:t xml:space="preserve">-threatening </w:t>
      </w:r>
      <w:r w:rsidRPr="00BB5ADD">
        <w:t>CNS</w:t>
      </w:r>
      <w:r w:rsidR="00A95FBA" w:rsidRPr="00BB5ADD">
        <w:t xml:space="preserve"> bacterial</w:t>
      </w:r>
      <w:r w:rsidRPr="00BB5ADD">
        <w:t xml:space="preserve"> infections </w:t>
      </w:r>
      <w:r w:rsidR="00CF0FFF">
        <w:t xml:space="preserve">including </w:t>
      </w:r>
      <w:r w:rsidRPr="00BB5ADD">
        <w:t xml:space="preserve">brain abscess formation </w:t>
      </w:r>
      <w:r w:rsidR="00ED2609" w:rsidRPr="00BB5ADD">
        <w:t xml:space="preserve">as detected in </w:t>
      </w:r>
      <w:r w:rsidRPr="00BB5ADD">
        <w:t>the VAERS data. Th</w:t>
      </w:r>
      <w:r w:rsidR="00177617">
        <w:t xml:space="preserve">is implies a gross breach of the BBB and possibly impairment of </w:t>
      </w:r>
      <w:r w:rsidR="00A95FBA" w:rsidRPr="00BB5ADD">
        <w:t xml:space="preserve">opsonization and </w:t>
      </w:r>
      <w:r w:rsidR="009C4FF7" w:rsidRPr="00BB5ADD">
        <w:t xml:space="preserve">neutrophil / macrophage </w:t>
      </w:r>
      <w:r w:rsidRPr="00BB5ADD">
        <w:t>phagocyt</w:t>
      </w:r>
      <w:r w:rsidR="009C4FF7" w:rsidRPr="00BB5ADD">
        <w:t>osis</w:t>
      </w:r>
      <w:r w:rsidRPr="00BB5ADD">
        <w:t>.</w:t>
      </w:r>
      <w:r w:rsidR="00EC2918" w:rsidRPr="00BB5ADD">
        <w:rPr>
          <w:vertAlign w:val="superscript"/>
        </w:rPr>
        <w:t>3</w:t>
      </w:r>
      <w:r w:rsidR="0019218A">
        <w:rPr>
          <w:vertAlign w:val="superscript"/>
        </w:rPr>
        <w:t>8</w:t>
      </w:r>
      <w:r w:rsidRPr="00BB5ADD">
        <w:rPr>
          <w:vertAlign w:val="superscript"/>
        </w:rPr>
        <w:t xml:space="preserve"> </w:t>
      </w:r>
      <w:r w:rsidR="00032106">
        <w:rPr>
          <w:shd w:val="clear" w:color="auto" w:fill="FFFFFF"/>
        </w:rPr>
        <w:t>F</w:t>
      </w:r>
      <w:r w:rsidRPr="00BB5ADD">
        <w:rPr>
          <w:shd w:val="clear" w:color="auto" w:fill="FFFFFF"/>
        </w:rPr>
        <w:t xml:space="preserve">urther </w:t>
      </w:r>
      <w:r w:rsidR="00923FCD" w:rsidRPr="00BB5ADD">
        <w:rPr>
          <w:shd w:val="clear" w:color="auto" w:fill="FFFFFF"/>
        </w:rPr>
        <w:t>study</w:t>
      </w:r>
      <w:r w:rsidR="00032106">
        <w:rPr>
          <w:shd w:val="clear" w:color="auto" w:fill="FFFFFF"/>
        </w:rPr>
        <w:t xml:space="preserve"> is urgen</w:t>
      </w:r>
      <w:r w:rsidR="007A694D">
        <w:rPr>
          <w:shd w:val="clear" w:color="auto" w:fill="FFFFFF"/>
        </w:rPr>
        <w:t>tly</w:t>
      </w:r>
      <w:r w:rsidR="00032106">
        <w:rPr>
          <w:shd w:val="clear" w:color="auto" w:fill="FFFFFF"/>
        </w:rPr>
        <w:t xml:space="preserve"> needed concerning the </w:t>
      </w:r>
      <w:r w:rsidRPr="00BB5ADD">
        <w:rPr>
          <w:shd w:val="clear" w:color="auto" w:fill="FFFFFF"/>
        </w:rPr>
        <w:t xml:space="preserve">negative influence </w:t>
      </w:r>
      <w:r w:rsidR="009C4FF7" w:rsidRPr="00BB5ADD">
        <w:rPr>
          <w:shd w:val="clear" w:color="auto" w:fill="FFFFFF"/>
        </w:rPr>
        <w:t xml:space="preserve">of the COVID-19 mRNA </w:t>
      </w:r>
      <w:r w:rsidR="002001FA">
        <w:rPr>
          <w:shd w:val="clear" w:color="auto" w:fill="FFFFFF"/>
        </w:rPr>
        <w:t xml:space="preserve">vaccines on the </w:t>
      </w:r>
      <w:r w:rsidRPr="00BB5ADD">
        <w:rPr>
          <w:shd w:val="clear" w:color="auto" w:fill="FFFFFF"/>
        </w:rPr>
        <w:t>human immunological response to bacterial infections.</w:t>
      </w:r>
      <w:r w:rsidR="00923FCD" w:rsidRPr="00BB5ADD">
        <w:rPr>
          <w:shd w:val="clear" w:color="auto" w:fill="FFFFFF"/>
        </w:rPr>
        <w:t xml:space="preserve"> </w:t>
      </w:r>
    </w:p>
    <w:p w14:paraId="770785A5" w14:textId="77777777" w:rsidR="00D218AD" w:rsidRPr="00BB5ADD" w:rsidRDefault="00D218AD" w:rsidP="00337378">
      <w:pPr>
        <w:spacing w:line="360" w:lineRule="auto"/>
        <w:rPr>
          <w:lang w:val="en"/>
        </w:rPr>
      </w:pPr>
    </w:p>
    <w:p w14:paraId="55ED1AB8" w14:textId="060DCA3C" w:rsidR="00A51C5B" w:rsidRPr="00BB5ADD" w:rsidRDefault="00796CEA" w:rsidP="00337378">
      <w:pPr>
        <w:spacing w:line="360" w:lineRule="auto"/>
        <w:rPr>
          <w:lang w:val="en"/>
        </w:rPr>
      </w:pPr>
      <w:r>
        <w:rPr>
          <w:lang w:val="en"/>
        </w:rPr>
        <w:t xml:space="preserve">COVID-19 mRNA vaccines represent the most widely utilized genetic product in human history.  </w:t>
      </w:r>
      <w:r w:rsidR="00E152F3">
        <w:rPr>
          <w:lang w:val="en"/>
        </w:rPr>
        <w:t xml:space="preserve">Lack of preclinical and clinical study to guide safe development of this technology has led to concerning reports of AE and SAE’s month to years after </w:t>
      </w:r>
      <w:r w:rsidR="00DC20D7">
        <w:rPr>
          <w:lang w:val="en"/>
        </w:rPr>
        <w:t>administration</w:t>
      </w:r>
      <w:r w:rsidR="003E6F80" w:rsidRPr="003E6F80">
        <w:t xml:space="preserve"> </w:t>
      </w:r>
      <w:r w:rsidR="003E6F80">
        <w:t>Key shortcomings in the development process included the rushed speed of manufacturing; the use of unproven mRNA technology in the first operational “vaccine”; reliance on nanometer-scale lipid nanoparticle delivery systems containing polyethylene glycol (PEG); and the unstable character of the initial product, which required a complex cold-chain for storage and distribution (</w:t>
      </w:r>
      <w:r w:rsidR="003E6F80">
        <w:rPr>
          <w:rStyle w:val="Strong"/>
        </w:rPr>
        <w:t>Process 1</w:t>
      </w:r>
      <w:r w:rsidR="003E6F80">
        <w:t>). These problems were compounded by the shift to large-scale commercial production (</w:t>
      </w:r>
      <w:r w:rsidR="003E6F80">
        <w:rPr>
          <w:rStyle w:val="Strong"/>
        </w:rPr>
        <w:t>Process 2</w:t>
      </w:r>
      <w:r w:rsidR="003E6F80">
        <w:t xml:space="preserve">), which used </w:t>
      </w:r>
      <w:r w:rsidR="003E6F80">
        <w:rPr>
          <w:rStyle w:val="Emphasis"/>
        </w:rPr>
        <w:t>E. coli</w:t>
      </w:r>
      <w:r w:rsidR="003E6F80">
        <w:t xml:space="preserve"> plasmids as the DNA template and led to contamination of finished vials with residual plasmid DNA fragments, raising additional safety concerns</w:t>
      </w:r>
      <w:r w:rsidR="0019218A">
        <w:t>.</w:t>
      </w:r>
      <w:r w:rsidR="0019218A" w:rsidRPr="00FB4216">
        <w:rPr>
          <w:vertAlign w:val="superscript"/>
        </w:rPr>
        <w:t>39</w:t>
      </w:r>
      <w:r w:rsidR="003E6F80">
        <w:t xml:space="preserve"> </w:t>
      </w:r>
      <w:r w:rsidR="005F49CE" w:rsidRPr="00BB5ADD">
        <w:rPr>
          <w:lang w:val="en"/>
        </w:rPr>
        <w:t>The</w:t>
      </w:r>
      <w:r w:rsidR="00B6493C" w:rsidRPr="00BB5ADD">
        <w:rPr>
          <w:lang w:val="en"/>
        </w:rPr>
        <w:t xml:space="preserve"> suspected </w:t>
      </w:r>
      <w:r w:rsidR="007C5C4B" w:rsidRPr="00BB5ADD">
        <w:rPr>
          <w:lang w:val="en"/>
        </w:rPr>
        <w:t>side</w:t>
      </w:r>
      <w:r w:rsidR="009C4FF7" w:rsidRPr="00BB5ADD">
        <w:rPr>
          <w:lang w:val="en"/>
        </w:rPr>
        <w:t xml:space="preserve"> </w:t>
      </w:r>
      <w:r w:rsidR="007C5C4B" w:rsidRPr="00BB5ADD">
        <w:rPr>
          <w:lang w:val="en"/>
        </w:rPr>
        <w:t>effect</w:t>
      </w:r>
      <w:r w:rsidR="005F49CE" w:rsidRPr="00BB5ADD">
        <w:rPr>
          <w:lang w:val="en"/>
        </w:rPr>
        <w:t xml:space="preserve"> of PEG</w:t>
      </w:r>
      <w:r w:rsidR="007C5C4B" w:rsidRPr="00BB5ADD">
        <w:rPr>
          <w:lang w:val="en"/>
        </w:rPr>
        <w:t xml:space="preserve"> as</w:t>
      </w:r>
      <w:r w:rsidR="00D218AD" w:rsidRPr="00BB5ADD">
        <w:rPr>
          <w:lang w:val="en"/>
        </w:rPr>
        <w:t xml:space="preserve"> </w:t>
      </w:r>
      <w:r w:rsidR="007C5C4B" w:rsidRPr="00BB5ADD">
        <w:rPr>
          <w:lang w:val="en"/>
        </w:rPr>
        <w:t>a h</w:t>
      </w:r>
      <w:r w:rsidR="00B6493C" w:rsidRPr="00BB5ADD">
        <w:rPr>
          <w:lang w:val="en"/>
        </w:rPr>
        <w:t>igh</w:t>
      </w:r>
      <w:r w:rsidR="007C5C4B" w:rsidRPr="00BB5ADD">
        <w:rPr>
          <w:lang w:val="en"/>
        </w:rPr>
        <w:t>-</w:t>
      </w:r>
      <w:r w:rsidR="00B6493C" w:rsidRPr="00BB5ADD">
        <w:rPr>
          <w:lang w:val="en"/>
        </w:rPr>
        <w:t>risk allergen</w:t>
      </w:r>
      <w:r w:rsidR="007C5C4B" w:rsidRPr="00BB5ADD">
        <w:rPr>
          <w:lang w:val="en"/>
        </w:rPr>
        <w:t xml:space="preserve"> alone mandated </w:t>
      </w:r>
      <w:r w:rsidR="00D218AD" w:rsidRPr="00BB5ADD">
        <w:rPr>
          <w:lang w:val="en"/>
        </w:rPr>
        <w:t xml:space="preserve">that </w:t>
      </w:r>
      <w:r w:rsidR="007C5C4B" w:rsidRPr="00BB5ADD">
        <w:rPr>
          <w:lang w:val="en"/>
        </w:rPr>
        <w:t>the closest adverse event supervision possible</w:t>
      </w:r>
      <w:r w:rsidR="00C20742" w:rsidRPr="00BB5ADD">
        <w:rPr>
          <w:lang w:val="en"/>
        </w:rPr>
        <w:t xml:space="preserve"> be conducted</w:t>
      </w:r>
      <w:r w:rsidR="005E7255" w:rsidRPr="00BB5ADD">
        <w:rPr>
          <w:lang w:val="en"/>
        </w:rPr>
        <w:t>, which was neglected</w:t>
      </w:r>
      <w:r w:rsidR="005B3DA3">
        <w:rPr>
          <w:lang w:val="en"/>
        </w:rPr>
        <w:t xml:space="preserve"> during the rollout process</w:t>
      </w:r>
      <w:r w:rsidR="007C5C4B" w:rsidRPr="00BB5ADD">
        <w:rPr>
          <w:lang w:val="en"/>
        </w:rPr>
        <w:t>.</w:t>
      </w:r>
      <w:r w:rsidR="00D0191A" w:rsidRPr="00BB5ADD">
        <w:rPr>
          <w:vertAlign w:val="superscript"/>
          <w:lang w:val="en"/>
        </w:rPr>
        <w:t>40</w:t>
      </w:r>
      <w:r w:rsidR="00C20742" w:rsidRPr="00BB5ADD">
        <w:rPr>
          <w:lang w:val="en"/>
        </w:rPr>
        <w:t xml:space="preserve"> </w:t>
      </w:r>
    </w:p>
    <w:p w14:paraId="3D33152F" w14:textId="77777777" w:rsidR="00067C47" w:rsidRDefault="00067C47" w:rsidP="003A0B8D">
      <w:pPr>
        <w:spacing w:after="160" w:line="360" w:lineRule="auto"/>
        <w:rPr>
          <w:lang w:val="en"/>
        </w:rPr>
      </w:pPr>
    </w:p>
    <w:p w14:paraId="0DDE9303" w14:textId="6B3A68B2" w:rsidR="00CE1D5E" w:rsidRPr="00BB5ADD" w:rsidRDefault="00067C47" w:rsidP="003A0B8D">
      <w:pPr>
        <w:spacing w:after="160" w:line="360" w:lineRule="auto"/>
        <w:rPr>
          <w:lang w:val="en"/>
        </w:rPr>
      </w:pPr>
      <w:r>
        <w:rPr>
          <w:lang w:val="en"/>
        </w:rPr>
        <w:t>D</w:t>
      </w:r>
      <w:r w:rsidR="007C5C4B" w:rsidRPr="00BB5ADD">
        <w:rPr>
          <w:lang w:val="en"/>
        </w:rPr>
        <w:t xml:space="preserve">ata </w:t>
      </w:r>
      <w:r w:rsidR="00B0780B" w:rsidRPr="00BB5ADD">
        <w:rPr>
          <w:lang w:val="en"/>
        </w:rPr>
        <w:t>recovered</w:t>
      </w:r>
      <w:r w:rsidR="00215216">
        <w:rPr>
          <w:lang w:val="en"/>
        </w:rPr>
        <w:t xml:space="preserve"> after the vaccine rollout revealed</w:t>
      </w:r>
      <w:r w:rsidR="007C5C4B" w:rsidRPr="00BB5ADD">
        <w:rPr>
          <w:lang w:val="en"/>
        </w:rPr>
        <w:t xml:space="preserve"> serious irregularities in the clinical and safety trials of the experimental mRNA “vaccines”.</w:t>
      </w:r>
      <w:r w:rsidR="00EC2918" w:rsidRPr="00BB5ADD">
        <w:rPr>
          <w:vertAlign w:val="superscript"/>
          <w:lang w:val="en"/>
        </w:rPr>
        <w:t>41</w:t>
      </w:r>
      <w:r w:rsidR="00D0191A" w:rsidRPr="00BB5ADD">
        <w:rPr>
          <w:vertAlign w:val="superscript"/>
          <w:lang w:val="en"/>
        </w:rPr>
        <w:t>, 42</w:t>
      </w:r>
      <w:r w:rsidR="00CE1D5E" w:rsidRPr="00BB5ADD">
        <w:rPr>
          <w:lang w:val="en"/>
        </w:rPr>
        <w:t xml:space="preserve"> These data recovered by lawsuits include the rapid systemic dissemination of the genetically active highly inflammatory lipid nanoparticles throughout the body with their prolonged deposition in critical organs.</w:t>
      </w:r>
      <w:r w:rsidR="00EC2918" w:rsidRPr="00BB5ADD">
        <w:rPr>
          <w:vertAlign w:val="superscript"/>
          <w:lang w:val="en"/>
        </w:rPr>
        <w:t>43,44</w:t>
      </w:r>
      <w:r w:rsidR="00D0191A" w:rsidRPr="00BB5ADD">
        <w:rPr>
          <w:vertAlign w:val="superscript"/>
          <w:lang w:val="en"/>
        </w:rPr>
        <w:t>,45</w:t>
      </w:r>
      <w:r w:rsidR="00CE1D5E" w:rsidRPr="00BB5ADD">
        <w:rPr>
          <w:lang w:val="en"/>
        </w:rPr>
        <w:t xml:space="preserve"> The implications of this information is vast for the overall US healthcare system given that approximately 81% of Americans have taken at least one COVID-19 vaccine.</w:t>
      </w:r>
      <w:r w:rsidR="00EC2918" w:rsidRPr="00BB5ADD">
        <w:rPr>
          <w:vertAlign w:val="superscript"/>
          <w:lang w:val="en"/>
        </w:rPr>
        <w:t>4</w:t>
      </w:r>
      <w:r w:rsidR="00D0191A" w:rsidRPr="00BB5ADD">
        <w:rPr>
          <w:vertAlign w:val="superscript"/>
          <w:lang w:val="en"/>
        </w:rPr>
        <w:t>6</w:t>
      </w:r>
      <w:r w:rsidR="00CE1D5E" w:rsidRPr="00BB5ADD">
        <w:rPr>
          <w:lang w:val="en"/>
        </w:rPr>
        <w:t xml:space="preserve"> An alarming study by a group of Yale researchers has demonstrated that in some individuals,  the resultant spike protein production has continued for years after “vaccination” along with definitive laboratory evidence of T-cell exhaustion in these patients.</w:t>
      </w:r>
      <w:r w:rsidR="00EC2918" w:rsidRPr="00BB5ADD">
        <w:rPr>
          <w:vertAlign w:val="superscript"/>
          <w:lang w:val="en"/>
        </w:rPr>
        <w:t>4</w:t>
      </w:r>
      <w:r w:rsidR="00D0191A" w:rsidRPr="00BB5ADD">
        <w:rPr>
          <w:vertAlign w:val="superscript"/>
          <w:lang w:val="en"/>
        </w:rPr>
        <w:t>7</w:t>
      </w:r>
      <w:r w:rsidR="00CE1D5E" w:rsidRPr="00BB5ADD">
        <w:rPr>
          <w:lang w:val="en"/>
        </w:rPr>
        <w:t xml:space="preserve">  </w:t>
      </w:r>
    </w:p>
    <w:p w14:paraId="6EB8EEFD" w14:textId="77777777" w:rsidR="00CE1D5E" w:rsidRPr="00BB5ADD" w:rsidRDefault="00CE1D5E" w:rsidP="00CF3785">
      <w:pPr>
        <w:spacing w:after="160" w:line="360" w:lineRule="auto"/>
      </w:pPr>
    </w:p>
    <w:p w14:paraId="78F29440" w14:textId="175B0102" w:rsidR="007E1C5A" w:rsidRPr="00BB5ADD" w:rsidRDefault="00E0603B" w:rsidP="00CF3785">
      <w:pPr>
        <w:spacing w:after="160" w:line="360" w:lineRule="auto"/>
      </w:pPr>
      <w:r w:rsidRPr="00BB5ADD">
        <w:t xml:space="preserve">In 2024, a Second Edition of the book “Toxic Shot” was independently published by Amazon. </w:t>
      </w:r>
      <w:r w:rsidR="007E1C5A" w:rsidRPr="00BB5ADD">
        <w:t>Authored by Dr. Byram Bridle PhD and Dr. Harvey Risch MD, PhD, at Yale, individual chapters in the book were written by national experts in their fields. It essentially summarized that in early 2020, the US had two highly effective and safe early outpatient drug treatments for COVID-19</w:t>
      </w:r>
      <w:r w:rsidR="005E7255" w:rsidRPr="00BB5ADD">
        <w:t xml:space="preserve"> which should have nullified the use of the Emergency Use Authorization by our regulatory </w:t>
      </w:r>
      <w:r w:rsidR="005E7255" w:rsidRPr="00BB5ADD">
        <w:lastRenderedPageBreak/>
        <w:t>agencies to bring this product to market</w:t>
      </w:r>
      <w:r w:rsidR="007E1C5A" w:rsidRPr="00BB5ADD">
        <w:t xml:space="preserve">. Consequently, </w:t>
      </w:r>
      <w:r w:rsidR="007E1C5A" w:rsidRPr="00BB5ADD">
        <w:rPr>
          <w:b/>
          <w:bCs/>
        </w:rPr>
        <w:t xml:space="preserve">not a single human being should have ever </w:t>
      </w:r>
      <w:r w:rsidR="007023F7">
        <w:rPr>
          <w:b/>
          <w:bCs/>
        </w:rPr>
        <w:t>received</w:t>
      </w:r>
      <w:r w:rsidR="007E1C5A" w:rsidRPr="00BB5ADD">
        <w:rPr>
          <w:b/>
          <w:bCs/>
        </w:rPr>
        <w:t xml:space="preserve"> a COVID-19 mRNA “vaccine” injection</w:t>
      </w:r>
      <w:r w:rsidR="005E7255" w:rsidRPr="00BB5ADD">
        <w:rPr>
          <w:b/>
          <w:bCs/>
        </w:rPr>
        <w:t>,</w:t>
      </w:r>
      <w:r w:rsidR="005F49CE" w:rsidRPr="00BB5ADD">
        <w:rPr>
          <w:b/>
          <w:bCs/>
        </w:rPr>
        <w:t xml:space="preserve"> </w:t>
      </w:r>
      <w:r w:rsidR="007E1C5A" w:rsidRPr="00BB5ADD">
        <w:rPr>
          <w:b/>
          <w:bCs/>
        </w:rPr>
        <w:t>particularly children and infants.</w:t>
      </w:r>
    </w:p>
    <w:p w14:paraId="4E8E1553" w14:textId="77777777" w:rsidR="007C5C4B" w:rsidRPr="00BB5ADD" w:rsidRDefault="007C5C4B" w:rsidP="00337378">
      <w:pPr>
        <w:spacing w:line="360" w:lineRule="auto"/>
        <w:rPr>
          <w:lang w:val="en"/>
        </w:rPr>
      </w:pPr>
    </w:p>
    <w:p w14:paraId="1F158397" w14:textId="0FABC8BE" w:rsidR="00E428CA" w:rsidRPr="00BB5ADD" w:rsidRDefault="0048377D" w:rsidP="003A0B8D">
      <w:pPr>
        <w:autoSpaceDE w:val="0"/>
        <w:autoSpaceDN w:val="0"/>
        <w:adjustRightInd w:val="0"/>
        <w:spacing w:after="160" w:line="360" w:lineRule="auto"/>
        <w:rPr>
          <w:b/>
          <w:bCs/>
          <w:lang w:val="en"/>
        </w:rPr>
      </w:pPr>
      <w:r w:rsidRPr="00BB5ADD">
        <w:t xml:space="preserve">There are now </w:t>
      </w:r>
      <w:r w:rsidR="001019ED" w:rsidRPr="00BB5ADD">
        <w:t>eight</w:t>
      </w:r>
      <w:r w:rsidR="005F49CE" w:rsidRPr="00BB5ADD">
        <w:t xml:space="preserve"> </w:t>
      </w:r>
      <w:r w:rsidRPr="00BB5ADD">
        <w:t>published peer reviewed papers that describe a</w:t>
      </w:r>
      <w:r w:rsidR="006115A7">
        <w:t>n overall</w:t>
      </w:r>
      <w:r w:rsidRPr="00BB5ADD">
        <w:t xml:space="preserve"> negative </w:t>
      </w:r>
      <w:r w:rsidR="005E7255" w:rsidRPr="00BB5ADD">
        <w:t>risk-benefit</w:t>
      </w:r>
      <w:r w:rsidRPr="00BB5ADD">
        <w:t xml:space="preserve"> ratio for the COVID-19 mRNA </w:t>
      </w:r>
      <w:r w:rsidR="00105276" w:rsidRPr="00BB5ADD">
        <w:t>“v</w:t>
      </w:r>
      <w:r w:rsidRPr="00BB5ADD">
        <w:t>accines</w:t>
      </w:r>
      <w:r w:rsidR="00105276" w:rsidRPr="00BB5ADD">
        <w:t>”</w:t>
      </w:r>
      <w:r w:rsidRPr="00BB5ADD">
        <w:t>.</w:t>
      </w:r>
      <w:r w:rsidR="00EC2918" w:rsidRPr="00BB5ADD">
        <w:rPr>
          <w:vertAlign w:val="superscript"/>
        </w:rPr>
        <w:t xml:space="preserve">17 </w:t>
      </w:r>
      <w:r w:rsidRPr="00BB5ADD">
        <w:t>The first of these papers examined</w:t>
      </w:r>
      <w:r w:rsidR="00105276" w:rsidRPr="00BB5ADD">
        <w:t xml:space="preserve"> </w:t>
      </w:r>
      <w:r w:rsidR="00720D42" w:rsidRPr="00BB5ADD">
        <w:t xml:space="preserve">the original clinical trial data from two pharmaceutical manufacturers. </w:t>
      </w:r>
      <w:r w:rsidR="007023F7">
        <w:t>The</w:t>
      </w:r>
      <w:r w:rsidR="005E7255" w:rsidRPr="00BB5ADD">
        <w:t xml:space="preserve"> authors concluded that </w:t>
      </w:r>
      <w:r w:rsidR="00105276" w:rsidRPr="00BB5ADD">
        <w:t>it was safer to contract COVID-19</w:t>
      </w:r>
      <w:r w:rsidR="005E7255" w:rsidRPr="00BB5ADD">
        <w:t xml:space="preserve"> with subsequent hospitalization than</w:t>
      </w:r>
      <w:r w:rsidR="00105276" w:rsidRPr="00BB5ADD">
        <w:t xml:space="preserve"> to take a mRNA “vaccine”.</w:t>
      </w:r>
      <w:r w:rsidR="00EC2918" w:rsidRPr="00BB5ADD">
        <w:rPr>
          <w:vertAlign w:val="superscript"/>
        </w:rPr>
        <w:t>4</w:t>
      </w:r>
      <w:r w:rsidR="00D0191A" w:rsidRPr="00BB5ADD">
        <w:rPr>
          <w:vertAlign w:val="superscript"/>
        </w:rPr>
        <w:t>8</w:t>
      </w:r>
      <w:r w:rsidR="00CE1D5E" w:rsidRPr="00BB5ADD">
        <w:t xml:space="preserve"> </w:t>
      </w:r>
      <w:r w:rsidR="00E428CA" w:rsidRPr="00BB5ADD">
        <w:t xml:space="preserve">At the time of this </w:t>
      </w:r>
      <w:r w:rsidR="005E7255" w:rsidRPr="00BB5ADD">
        <w:t>publication</w:t>
      </w:r>
      <w:r w:rsidR="00E428CA" w:rsidRPr="00BB5ADD">
        <w:t>, 4</w:t>
      </w:r>
      <w:r w:rsidR="005E7255" w:rsidRPr="00BB5ADD">
        <w:t>.5</w:t>
      </w:r>
      <w:r w:rsidR="00E428CA" w:rsidRPr="00BB5ADD">
        <w:t xml:space="preserve"> years have passed since the initiation of the mass </w:t>
      </w:r>
      <w:r w:rsidR="005E7255" w:rsidRPr="00BB5ADD">
        <w:t xml:space="preserve">COVID-19 </w:t>
      </w:r>
      <w:r w:rsidR="00E428CA" w:rsidRPr="00BB5ADD">
        <w:t>mRNA “vaccination” campaign and</w:t>
      </w:r>
      <w:r w:rsidR="0099055C" w:rsidRPr="00BB5ADD">
        <w:t xml:space="preserve"> yet</w:t>
      </w:r>
      <w:r w:rsidR="00E428CA" w:rsidRPr="00BB5ADD">
        <w:t xml:space="preserve"> the long-term effects of this program are still being elucidated. </w:t>
      </w:r>
      <w:r w:rsidR="009F0639">
        <w:rPr>
          <w:lang w:val="en"/>
        </w:rPr>
        <w:t>Our data join the work of others to firmly conclude the COVID-19 vaccines and their boosters are not safe for human use and should be urgently removed from the market.</w:t>
      </w:r>
    </w:p>
    <w:p w14:paraId="1A8BE370" w14:textId="77777777" w:rsidR="000747F3" w:rsidRPr="00BB5ADD" w:rsidRDefault="000747F3" w:rsidP="006270CB"/>
    <w:p w14:paraId="0D0BEAD3" w14:textId="77777777" w:rsidR="008716B0" w:rsidRDefault="008716B0" w:rsidP="008716B0">
      <w:pPr>
        <w:rPr>
          <w:shd w:val="clear" w:color="auto" w:fill="FFFFFF"/>
        </w:rPr>
      </w:pPr>
    </w:p>
    <w:p w14:paraId="182221F6" w14:textId="77777777" w:rsidR="00BD0483" w:rsidRDefault="00BD0483" w:rsidP="008716B0">
      <w:pPr>
        <w:rPr>
          <w:shd w:val="clear" w:color="auto" w:fill="FFFFFF"/>
        </w:rPr>
      </w:pPr>
    </w:p>
    <w:p w14:paraId="3744B44F" w14:textId="77777777" w:rsidR="00BD0483" w:rsidRDefault="00BD0483" w:rsidP="008716B0">
      <w:pPr>
        <w:rPr>
          <w:shd w:val="clear" w:color="auto" w:fill="FFFFFF"/>
        </w:rPr>
      </w:pPr>
    </w:p>
    <w:p w14:paraId="5A5E7FAF" w14:textId="77777777" w:rsidR="00BD0483" w:rsidRDefault="00BD0483" w:rsidP="008716B0">
      <w:pPr>
        <w:rPr>
          <w:shd w:val="clear" w:color="auto" w:fill="FFFFFF"/>
        </w:rPr>
      </w:pPr>
    </w:p>
    <w:p w14:paraId="348A71D5" w14:textId="77777777" w:rsidR="00BD0483" w:rsidRPr="00BB5ADD" w:rsidRDefault="00BD0483" w:rsidP="008716B0">
      <w:pPr>
        <w:rPr>
          <w:shd w:val="clear" w:color="auto" w:fill="FFFFFF"/>
        </w:rPr>
      </w:pPr>
    </w:p>
    <w:p w14:paraId="62A079A6" w14:textId="77777777" w:rsidR="006270CB" w:rsidRPr="00BB5ADD" w:rsidRDefault="006270CB" w:rsidP="004E7C4A"/>
    <w:p w14:paraId="3C852124" w14:textId="77777777" w:rsidR="00661A68" w:rsidRPr="00BB5ADD" w:rsidRDefault="00BA4802" w:rsidP="00661A68">
      <w:r w:rsidRPr="00BB5ADD">
        <w:t>References:</w:t>
      </w:r>
      <w:r w:rsidR="00661A68" w:rsidRPr="00BB5ADD">
        <w:br/>
      </w:r>
    </w:p>
    <w:p w14:paraId="5A553C5E"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hAnsi="Times New Roman" w:cs="Times New Roman"/>
        </w:rPr>
        <w:t>Kim KS. Mechanisms of microbial traversal of the blood-brain barrier. Nat Rev Microbiol. 2008 Aug;6(8):625-34. doi: 10.1038/nrmicro1952. Epub 2008 Jul 7. PMID: 18604221; PMCID: PMC5206914.</w:t>
      </w:r>
    </w:p>
    <w:p w14:paraId="12F9B745" w14:textId="77777777" w:rsidR="00661A68" w:rsidRPr="00BB5ADD" w:rsidRDefault="00661A68" w:rsidP="00661A68">
      <w:pPr>
        <w:pStyle w:val="ListParagraph"/>
        <w:numPr>
          <w:ilvl w:val="0"/>
          <w:numId w:val="23"/>
        </w:numPr>
        <w:rPr>
          <w:rFonts w:ascii="Times New Roman" w:hAnsi="Times New Roman" w:cs="Times New Roman"/>
        </w:rPr>
      </w:pPr>
      <w:r w:rsidRPr="00BB5ADD">
        <w:rPr>
          <w:rFonts w:ascii="Times New Roman" w:hAnsi="Times New Roman" w:cs="Times New Roman"/>
        </w:rPr>
        <w:t xml:space="preserve">https://www.cdc.gov/meningococcal/php/surveillance/index.html#:~:text=U.S.%20cases%20of%20meningococcal%20disease,much%20of%20this%20recent%20increase  </w:t>
      </w:r>
    </w:p>
    <w:p w14:paraId="10F892BC" w14:textId="77777777" w:rsidR="00661A68" w:rsidRPr="00BB5ADD" w:rsidRDefault="00661A68" w:rsidP="00661A68">
      <w:pPr>
        <w:pStyle w:val="ListParagraph"/>
        <w:numPr>
          <w:ilvl w:val="0"/>
          <w:numId w:val="23"/>
        </w:numPr>
        <w:spacing w:after="160" w:line="278" w:lineRule="auto"/>
        <w:rPr>
          <w:rStyle w:val="Hyperlink"/>
          <w:rFonts w:ascii="Times New Roman" w:hAnsi="Times New Roman" w:cs="Times New Roman"/>
          <w:color w:val="auto"/>
          <w:u w:val="none"/>
        </w:rPr>
      </w:pPr>
      <w:hyperlink r:id="rId12" w:history="1">
        <w:r w:rsidRPr="00BB5ADD">
          <w:rPr>
            <w:rStyle w:val="Hyperlink"/>
            <w:rFonts w:ascii="Times New Roman" w:hAnsi="Times New Roman" w:cs="Times New Roman"/>
            <w:color w:val="auto"/>
            <w:u w:val="none"/>
          </w:rPr>
          <w:t>https://ncsddc.org/florida-meningococcal-disease-outbreak-raises-need-for-awareness/</w:t>
        </w:r>
      </w:hyperlink>
    </w:p>
    <w:p w14:paraId="2B21E068"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hyperlink r:id="rId13" w:history="1">
        <w:r w:rsidRPr="00BB5ADD">
          <w:rPr>
            <w:rStyle w:val="Hyperlink"/>
            <w:rFonts w:ascii="Times New Roman" w:hAnsi="Times New Roman" w:cs="Times New Roman"/>
            <w:color w:val="auto"/>
            <w:u w:val="none"/>
          </w:rPr>
          <w:t>https://ijvtpr.com/index.php/IJVTPR/article/view/66</w:t>
        </w:r>
      </w:hyperlink>
    </w:p>
    <w:p w14:paraId="4DAAD2C4"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hAnsi="Times New Roman" w:cs="Times New Roman"/>
        </w:rPr>
        <w:t>Archibald LK, Quisling RG. Central Nervous System Infections. Textbook of Neurointensive Care. 2013 May 7:427–517. doi: 10.1007/978-1-4471-5226-2_22. PMCID: PMC7122753</w:t>
      </w:r>
    </w:p>
    <w:p w14:paraId="2D649301" w14:textId="77777777" w:rsidR="00661A68" w:rsidRPr="00BB5ADD" w:rsidRDefault="00661A68" w:rsidP="00661A68">
      <w:pPr>
        <w:pStyle w:val="ListParagraph"/>
        <w:numPr>
          <w:ilvl w:val="0"/>
          <w:numId w:val="23"/>
        </w:numPr>
        <w:spacing w:after="160" w:line="278" w:lineRule="auto"/>
        <w:rPr>
          <w:rStyle w:val="Hyperlink"/>
          <w:rFonts w:ascii="Times New Roman" w:hAnsi="Times New Roman" w:cs="Times New Roman"/>
          <w:color w:val="auto"/>
          <w:u w:val="none"/>
        </w:rPr>
      </w:pPr>
      <w:hyperlink r:id="rId14" w:history="1">
        <w:r w:rsidRPr="00BB5ADD">
          <w:rPr>
            <w:rStyle w:val="Hyperlink"/>
            <w:rFonts w:ascii="Times New Roman" w:hAnsi="Times New Roman" w:cs="Times New Roman"/>
            <w:color w:val="auto"/>
            <w:u w:val="none"/>
          </w:rPr>
          <w:t>https://medalerts.org/</w:t>
        </w:r>
      </w:hyperlink>
    </w:p>
    <w:p w14:paraId="06685320" w14:textId="77777777" w:rsidR="00661A68" w:rsidRPr="00BB5ADD" w:rsidRDefault="00661A68" w:rsidP="00661A68">
      <w:pPr>
        <w:pStyle w:val="ListParagraph"/>
        <w:numPr>
          <w:ilvl w:val="0"/>
          <w:numId w:val="23"/>
        </w:numPr>
        <w:spacing w:after="160" w:line="278" w:lineRule="auto"/>
        <w:rPr>
          <w:rStyle w:val="Hyperlink"/>
          <w:rFonts w:ascii="Times New Roman" w:hAnsi="Times New Roman" w:cs="Times New Roman"/>
          <w:color w:val="auto"/>
          <w:u w:val="none"/>
        </w:rPr>
      </w:pPr>
      <w:r w:rsidRPr="00BB5ADD">
        <w:rPr>
          <w:rFonts w:ascii="Times New Roman" w:eastAsia="Times New Roman" w:hAnsi="Times New Roman" w:cs="Times New Roman"/>
          <w:kern w:val="0"/>
          <w14:ligatures w14:val="none"/>
        </w:rPr>
        <w:t xml:space="preserve">Thorp, J.A.; Rogers, C.; Deskevich, M.P.; Tankersley, S.; Benavides, A.; Redshaw, M.D.; McCullough, P.A. COVID-19 Vaccines: The Impact on Pregnancy Outcomes and Menstrual Function. </w:t>
      </w:r>
      <w:r w:rsidRPr="00BB5ADD">
        <w:rPr>
          <w:rFonts w:ascii="Times New Roman" w:eastAsia="Times New Roman" w:hAnsi="Times New Roman" w:cs="Times New Roman"/>
          <w:i/>
          <w:iCs/>
          <w:kern w:val="0"/>
          <w14:ligatures w14:val="none"/>
        </w:rPr>
        <w:t>J. Am. Physicians Surg</w:t>
      </w:r>
      <w:r w:rsidRPr="00BB5ADD">
        <w:rPr>
          <w:rFonts w:ascii="Times New Roman" w:eastAsia="Times New Roman" w:hAnsi="Times New Roman" w:cs="Times New Roman"/>
          <w:kern w:val="0"/>
          <w14:ligatures w14:val="none"/>
        </w:rPr>
        <w:t xml:space="preserve">. </w:t>
      </w:r>
      <w:hyperlink r:id="rId15" w:history="1">
        <w:r w:rsidRPr="00BB5ADD">
          <w:rPr>
            <w:rStyle w:val="Hyperlink"/>
            <w:rFonts w:ascii="Times New Roman" w:hAnsi="Times New Roman" w:cs="Times New Roman"/>
            <w:color w:val="auto"/>
            <w:u w:val="none"/>
          </w:rPr>
          <w:t>https://www.jpands.org/vol28no1/thorp.pdf/</w:t>
        </w:r>
      </w:hyperlink>
    </w:p>
    <w:p w14:paraId="6B49AA38" w14:textId="77777777" w:rsidR="00661A68" w:rsidRPr="00BB5ADD" w:rsidRDefault="00661A68" w:rsidP="00661A68">
      <w:pPr>
        <w:pStyle w:val="ListParagraph"/>
        <w:numPr>
          <w:ilvl w:val="0"/>
          <w:numId w:val="23"/>
        </w:numPr>
        <w:spacing w:after="160" w:line="278" w:lineRule="auto"/>
        <w:rPr>
          <w:rStyle w:val="Hyperlink"/>
          <w:rFonts w:ascii="Times New Roman" w:hAnsi="Times New Roman" w:cs="Times New Roman"/>
          <w:color w:val="auto"/>
          <w:u w:val="none"/>
        </w:rPr>
      </w:pPr>
      <w:r w:rsidRPr="00BB5ADD">
        <w:rPr>
          <w:rFonts w:ascii="Times New Roman" w:hAnsi="Times New Roman" w:cs="Times New Roman"/>
        </w:rPr>
        <w:t xml:space="preserve">MedCalc® Statistical Software version 23.1.5 – 64 bit, MedCalc Software Ltd, Ostend, Belgium; 2024. </w:t>
      </w:r>
      <w:hyperlink r:id="rId16" w:history="1">
        <w:r w:rsidRPr="00BB5ADD">
          <w:rPr>
            <w:rStyle w:val="Hyperlink"/>
            <w:rFonts w:ascii="Times New Roman" w:hAnsi="Times New Roman" w:cs="Times New Roman"/>
            <w:color w:val="auto"/>
            <w:u w:val="none"/>
          </w:rPr>
          <w:t>https://www.medcalc.org</w:t>
        </w:r>
      </w:hyperlink>
      <w:r w:rsidRPr="00BB5ADD">
        <w:rPr>
          <w:rFonts w:ascii="Times New Roman" w:hAnsi="Times New Roman" w:cs="Times New Roman"/>
        </w:rPr>
        <w:t xml:space="preserve">. </w:t>
      </w:r>
      <w:r w:rsidRPr="00BB5ADD">
        <w:rPr>
          <w:rStyle w:val="Hyperlink"/>
          <w:rFonts w:ascii="Times New Roman" w:hAnsi="Times New Roman" w:cs="Times New Roman"/>
          <w:color w:val="auto"/>
          <w:u w:val="none"/>
        </w:rPr>
        <w:t>Accessed [1/31/2025]</w:t>
      </w:r>
    </w:p>
    <w:p w14:paraId="04141E02"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hAnsi="Times New Roman" w:cs="Times New Roman"/>
        </w:rPr>
        <w:lastRenderedPageBreak/>
        <w:t xml:space="preserve">Le TT, Andreadakis Z, Kumar A, </w:t>
      </w:r>
      <w:hyperlink r:id="rId17" w:anchor="author-3" w:history="1">
        <w:r w:rsidRPr="00BB5ADD">
          <w:rPr>
            <w:rStyle w:val="Hyperlink"/>
            <w:rFonts w:ascii="Times New Roman" w:eastAsiaTheme="majorEastAsia" w:hAnsi="Times New Roman" w:cs="Times New Roman"/>
            <w:color w:val="auto"/>
            <w:u w:val="none"/>
          </w:rPr>
          <w:t>Román</w:t>
        </w:r>
      </w:hyperlink>
      <w:r w:rsidRPr="00BB5ADD">
        <w:rPr>
          <w:rFonts w:ascii="Times New Roman" w:hAnsi="Times New Roman" w:cs="Times New Roman"/>
        </w:rPr>
        <w:t xml:space="preserve"> RG, Tollefsen S, Saville M, Mayhew S.  The COVID-19 vaccine development landscape. </w:t>
      </w:r>
      <w:r w:rsidRPr="00BB5ADD">
        <w:rPr>
          <w:rFonts w:ascii="Times New Roman" w:hAnsi="Times New Roman" w:cs="Times New Roman"/>
          <w:i/>
          <w:iCs/>
        </w:rPr>
        <w:t>Nat. Rev. Drug Discov</w:t>
      </w:r>
      <w:r w:rsidRPr="00BB5ADD">
        <w:rPr>
          <w:rFonts w:ascii="Times New Roman" w:hAnsi="Times New Roman" w:cs="Times New Roman"/>
        </w:rPr>
        <w:t>. 2020;19:305-306. doi: 10.1038/d41573-020-00073-5.</w:t>
      </w:r>
    </w:p>
    <w:p w14:paraId="12CFE95A"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hAnsi="Times New Roman" w:cs="Times New Roman"/>
        </w:rPr>
        <w:t xml:space="preserve">Huber, C.  2024 Update: Brain impacts from the COVID vaccines. </w:t>
      </w:r>
      <w:hyperlink r:id="rId18" w:history="1">
        <w:r w:rsidRPr="00BB5ADD">
          <w:rPr>
            <w:rStyle w:val="Hyperlink"/>
            <w:rFonts w:ascii="Times New Roman" w:eastAsiaTheme="majorEastAsia" w:hAnsi="Times New Roman" w:cs="Times New Roman"/>
            <w:color w:val="auto"/>
            <w:u w:val="none"/>
          </w:rPr>
          <w:t>https://colleenhuber.substack.com/p/2024-update-brain-impacts-from-the</w:t>
        </w:r>
      </w:hyperlink>
      <w:r w:rsidRPr="00BB5ADD">
        <w:rPr>
          <w:rFonts w:ascii="Times New Roman" w:hAnsi="Times New Roman" w:cs="Times New Roman"/>
        </w:rPr>
        <w:t>. Published September 15, 2024.  Accessed April 8, 2025.</w:t>
      </w:r>
    </w:p>
    <w:p w14:paraId="4D37E521"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proofErr w:type="spellStart"/>
      <w:r w:rsidRPr="00BB5ADD">
        <w:rPr>
          <w:rFonts w:ascii="Times New Roman" w:hAnsi="Times New Roman" w:cs="Times New Roman"/>
        </w:rPr>
        <w:t>Theoharides</w:t>
      </w:r>
      <w:proofErr w:type="spellEnd"/>
      <w:r w:rsidRPr="00BB5ADD">
        <w:rPr>
          <w:rFonts w:ascii="Times New Roman" w:hAnsi="Times New Roman" w:cs="Times New Roman"/>
        </w:rPr>
        <w:t xml:space="preserve"> TC, </w:t>
      </w:r>
      <w:proofErr w:type="spellStart"/>
      <w:r w:rsidRPr="00BB5ADD">
        <w:rPr>
          <w:rFonts w:ascii="Times New Roman" w:hAnsi="Times New Roman" w:cs="Times New Roman"/>
        </w:rPr>
        <w:t>Kempuraj</w:t>
      </w:r>
      <w:proofErr w:type="spellEnd"/>
      <w:r w:rsidRPr="00BB5ADD">
        <w:rPr>
          <w:rFonts w:ascii="Times New Roman" w:hAnsi="Times New Roman" w:cs="Times New Roman"/>
        </w:rPr>
        <w:t xml:space="preserve"> D. Role of SARS-CoV-2 spike-protein-induced activation of microglia and mast cells in the pathogenesis of neuro-COVID. </w:t>
      </w:r>
      <w:r w:rsidRPr="00BB5ADD">
        <w:rPr>
          <w:rFonts w:ascii="Times New Roman" w:hAnsi="Times New Roman" w:cs="Times New Roman"/>
          <w:i/>
          <w:iCs/>
        </w:rPr>
        <w:t>Cells</w:t>
      </w:r>
      <w:r w:rsidRPr="00BB5ADD">
        <w:rPr>
          <w:rFonts w:ascii="Times New Roman" w:hAnsi="Times New Roman" w:cs="Times New Roman"/>
        </w:rPr>
        <w:t>. 2023 Feb 22;12(5):688. doi: 10.3390/cells12050688. PMID: 36899824; PMCID: PMC10001285.</w:t>
      </w:r>
    </w:p>
    <w:p w14:paraId="745E0F1B" w14:textId="77777777" w:rsidR="00661A68" w:rsidRPr="00BB5ADD" w:rsidRDefault="00661A68" w:rsidP="00661A68">
      <w:pPr>
        <w:pStyle w:val="ListParagraph"/>
        <w:numPr>
          <w:ilvl w:val="0"/>
          <w:numId w:val="23"/>
        </w:numPr>
        <w:spacing w:after="160" w:line="278" w:lineRule="auto"/>
        <w:rPr>
          <w:rStyle w:val="Hyperlink"/>
          <w:rFonts w:ascii="Times New Roman" w:hAnsi="Times New Roman" w:cs="Times New Roman"/>
          <w:color w:val="auto"/>
          <w:u w:val="none"/>
        </w:rPr>
      </w:pPr>
      <w:hyperlink r:id="rId19" w:history="1">
        <w:r w:rsidRPr="00BB5ADD">
          <w:rPr>
            <w:rStyle w:val="Hyperlink"/>
            <w:rFonts w:ascii="Times New Roman" w:hAnsi="Times New Roman" w:cs="Times New Roman"/>
            <w:color w:val="auto"/>
            <w:u w:val="none"/>
          </w:rPr>
          <w:t>https://nmaus.org/nma-disease-prevention-information/statistics-and-disease-facts/</w:t>
        </w:r>
      </w:hyperlink>
    </w:p>
    <w:p w14:paraId="57768321" w14:textId="77777777" w:rsidR="00661A68" w:rsidRPr="00BB5ADD" w:rsidRDefault="00661A68" w:rsidP="00661A68">
      <w:pPr>
        <w:pStyle w:val="ListParagraph"/>
        <w:numPr>
          <w:ilvl w:val="0"/>
          <w:numId w:val="23"/>
        </w:numPr>
        <w:spacing w:after="160" w:line="278" w:lineRule="auto"/>
        <w:rPr>
          <w:rStyle w:val="Hyperlink"/>
          <w:rFonts w:ascii="Times New Roman" w:hAnsi="Times New Roman" w:cs="Times New Roman"/>
          <w:color w:val="auto"/>
          <w:u w:val="none"/>
        </w:rPr>
      </w:pPr>
      <w:hyperlink r:id="rId20" w:history="1">
        <w:r w:rsidRPr="00BB5ADD">
          <w:rPr>
            <w:rStyle w:val="Hyperlink"/>
            <w:rFonts w:ascii="Times New Roman" w:hAnsi="Times New Roman" w:cs="Times New Roman"/>
            <w:color w:val="auto"/>
            <w:u w:val="none"/>
          </w:rPr>
          <w:t>https://www.hopkinsmedicine.org/health/conditions-and-diseases/encephalitis</w:t>
        </w:r>
      </w:hyperlink>
    </w:p>
    <w:p w14:paraId="789180A5"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eastAsiaTheme="majorEastAsia" w:hAnsi="Times New Roman" w:cs="Times New Roman"/>
        </w:rPr>
        <w:t xml:space="preserve">LIONESS OF JUDAH MINISTRY. Major Study of 9 million Confirms Covid Shots Cause VAIDS. July 26, 2024. </w:t>
      </w:r>
      <w:hyperlink r:id="rId21" w:history="1">
        <w:r w:rsidRPr="00BB5ADD">
          <w:rPr>
            <w:rStyle w:val="Hyperlink"/>
            <w:rFonts w:ascii="Times New Roman" w:eastAsiaTheme="majorEastAsia" w:hAnsi="Times New Roman" w:cs="Times New Roman"/>
            <w:color w:val="auto"/>
            <w:u w:val="none"/>
          </w:rPr>
          <w:t>https://lionessofjudah.substack.com/p/major-study-of-9-million-confirms</w:t>
        </w:r>
      </w:hyperlink>
    </w:p>
    <w:p w14:paraId="01013D38"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eastAsiaTheme="majorEastAsia" w:hAnsi="Times New Roman" w:cs="Times New Roman"/>
        </w:rPr>
        <w:t xml:space="preserve">Robin Westenra. The AIDS-like Epidemic of VAIDS Among Covid-19 Vaccinated Children. May 222, 2025. </w:t>
      </w:r>
      <w:hyperlink r:id="rId22" w:history="1">
        <w:r w:rsidRPr="00BB5ADD">
          <w:rPr>
            <w:rStyle w:val="Hyperlink"/>
            <w:rFonts w:ascii="Times New Roman" w:eastAsiaTheme="majorEastAsia" w:hAnsi="Times New Roman" w:cs="Times New Roman"/>
            <w:color w:val="auto"/>
            <w:u w:val="none"/>
          </w:rPr>
          <w:t>https://seemorerocks.substack.com/p/the-aids-like-epidemic-of-vaids-among</w:t>
        </w:r>
      </w:hyperlink>
    </w:p>
    <w:p w14:paraId="279649D0" w14:textId="77777777" w:rsidR="00661A68" w:rsidRPr="00BB5ADD" w:rsidRDefault="00661A68" w:rsidP="00661A68">
      <w:pPr>
        <w:pStyle w:val="ListParagraph"/>
        <w:numPr>
          <w:ilvl w:val="0"/>
          <w:numId w:val="23"/>
        </w:numPr>
        <w:spacing w:after="160" w:line="278" w:lineRule="auto"/>
        <w:rPr>
          <w:rFonts w:ascii="Times New Roman" w:eastAsia="Times New Roman" w:hAnsi="Times New Roman" w:cs="Times New Roman"/>
        </w:rPr>
      </w:pPr>
      <w:r w:rsidRPr="00BB5ADD">
        <w:rPr>
          <w:rFonts w:ascii="Times New Roman" w:eastAsia="Times New Roman" w:hAnsi="Times New Roman" w:cs="Times New Roman"/>
        </w:rPr>
        <w:t>Igor Chudov. Pfizer’s COVID Vaccine Causes VAIDS in Children, Study Proves. August 29, 2023.</w:t>
      </w:r>
      <w:hyperlink r:id="rId23" w:history="1">
        <w:r w:rsidRPr="00BB5ADD">
          <w:rPr>
            <w:rStyle w:val="Hyperlink"/>
            <w:rFonts w:ascii="Times New Roman" w:eastAsia="Times New Roman" w:hAnsi="Times New Roman" w:cs="Times New Roman"/>
            <w:color w:val="auto"/>
            <w:u w:val="none"/>
          </w:rPr>
          <w:t>https://www.igor-chudov.com/p/pfizers-covid-vaccine-causes-vaids</w:t>
        </w:r>
      </w:hyperlink>
    </w:p>
    <w:p w14:paraId="4B9A7A71"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eastAsia="Times New Roman" w:hAnsi="Times New Roman" w:cs="Times New Roman"/>
        </w:rPr>
        <w:t xml:space="preserve">Nicolas Hulscher. VAIDS Explains Why EIGHT Studies Show mRNA Booster Shots Dramatically increase Infection Risk. August 17, 2025. </w:t>
      </w:r>
      <w:hyperlink r:id="rId24" w:history="1">
        <w:r w:rsidRPr="00BB5ADD">
          <w:rPr>
            <w:rStyle w:val="Hyperlink"/>
            <w:rFonts w:ascii="Times New Roman" w:eastAsia="Times New Roman" w:hAnsi="Times New Roman" w:cs="Times New Roman"/>
            <w:color w:val="auto"/>
            <w:u w:val="none"/>
          </w:rPr>
          <w:t>https://x.com/nichulscher/status/1957165490196939141?s=46&amp;t=E3lBa0k6ScUvJ7YwdVqK9w</w:t>
        </w:r>
      </w:hyperlink>
    </w:p>
    <w:p w14:paraId="00582A24" w14:textId="77777777" w:rsidR="00661A68" w:rsidRPr="00BB5ADD" w:rsidRDefault="00661A68" w:rsidP="00661A68">
      <w:pPr>
        <w:pStyle w:val="ListParagraph"/>
        <w:numPr>
          <w:ilvl w:val="0"/>
          <w:numId w:val="23"/>
        </w:numPr>
        <w:spacing w:after="160" w:line="278" w:lineRule="auto"/>
        <w:rPr>
          <w:rStyle w:val="Hyperlink"/>
          <w:rFonts w:ascii="Times New Roman" w:hAnsi="Times New Roman" w:cs="Times New Roman"/>
          <w:color w:val="auto"/>
          <w:u w:val="none"/>
        </w:rPr>
      </w:pPr>
      <w:hyperlink r:id="rId25" w:history="1">
        <w:r w:rsidRPr="00BB5ADD">
          <w:rPr>
            <w:rStyle w:val="Hyperlink"/>
            <w:rFonts w:ascii="Times New Roman" w:hAnsi="Times New Roman" w:cs="Times New Roman"/>
            <w:color w:val="auto"/>
            <w:u w:val="none"/>
          </w:rPr>
          <w:t>https://www.cdc.gov/mmwr/volumes/73/wr/mm7343a3.htm</w:t>
        </w:r>
      </w:hyperlink>
    </w:p>
    <w:p w14:paraId="51556438" w14:textId="77777777" w:rsidR="00661A68" w:rsidRPr="00BB5ADD" w:rsidRDefault="00661A68" w:rsidP="00661A68">
      <w:pPr>
        <w:pStyle w:val="ListParagraph"/>
        <w:numPr>
          <w:ilvl w:val="0"/>
          <w:numId w:val="23"/>
        </w:numPr>
        <w:spacing w:after="160" w:line="278" w:lineRule="auto"/>
        <w:rPr>
          <w:rStyle w:val="Hyperlink"/>
          <w:rFonts w:ascii="Times New Roman" w:hAnsi="Times New Roman" w:cs="Times New Roman"/>
          <w:color w:val="auto"/>
          <w:u w:val="none"/>
        </w:rPr>
      </w:pPr>
      <w:hyperlink r:id="rId26" w:history="1">
        <w:r w:rsidRPr="00BB5ADD">
          <w:rPr>
            <w:rStyle w:val="Hyperlink"/>
            <w:rFonts w:ascii="Times New Roman" w:hAnsi="Times New Roman" w:cs="Times New Roman"/>
            <w:color w:val="auto"/>
            <w:u w:val="none"/>
          </w:rPr>
          <w:t>https://www.kktv.com/2023/04/18/doctors-concerned-about-meningitis-respiratory-illnesses-colorado/</w:t>
        </w:r>
      </w:hyperlink>
    </w:p>
    <w:p w14:paraId="53F29A93" w14:textId="77777777" w:rsidR="00661A68" w:rsidRPr="00BB5ADD" w:rsidRDefault="00661A68" w:rsidP="00661A68">
      <w:pPr>
        <w:pStyle w:val="ListParagraph"/>
        <w:numPr>
          <w:ilvl w:val="0"/>
          <w:numId w:val="23"/>
        </w:numPr>
        <w:spacing w:after="160" w:line="278" w:lineRule="auto"/>
        <w:rPr>
          <w:rStyle w:val="Hyperlink"/>
          <w:rFonts w:ascii="Times New Roman" w:hAnsi="Times New Roman" w:cs="Times New Roman"/>
          <w:color w:val="auto"/>
          <w:u w:val="none"/>
        </w:rPr>
      </w:pPr>
      <w:hyperlink r:id="rId27" w:history="1">
        <w:r w:rsidRPr="00BB5ADD">
          <w:rPr>
            <w:rStyle w:val="Hyperlink"/>
            <w:rFonts w:ascii="Times New Roman" w:hAnsi="Times New Roman" w:cs="Times New Roman"/>
            <w:color w:val="auto"/>
            <w:u w:val="none"/>
          </w:rPr>
          <w:t>https://jamanetwork.com/journals/jama/article-abstract/2818262</w:t>
        </w:r>
      </w:hyperlink>
    </w:p>
    <w:p w14:paraId="1D20E6A6"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proofErr w:type="spellStart"/>
      <w:r w:rsidRPr="00BB5ADD">
        <w:rPr>
          <w:rFonts w:ascii="Times New Roman" w:hAnsi="Times New Roman" w:cs="Times New Roman"/>
        </w:rPr>
        <w:t>Shafiee</w:t>
      </w:r>
      <w:proofErr w:type="spellEnd"/>
      <w:r w:rsidRPr="00BB5ADD">
        <w:rPr>
          <w:rFonts w:ascii="Times New Roman" w:hAnsi="Times New Roman" w:cs="Times New Roman"/>
        </w:rPr>
        <w:t xml:space="preserve"> A, </w:t>
      </w:r>
      <w:proofErr w:type="spellStart"/>
      <w:r w:rsidRPr="00BB5ADD">
        <w:rPr>
          <w:rFonts w:ascii="Times New Roman" w:hAnsi="Times New Roman" w:cs="Times New Roman"/>
        </w:rPr>
        <w:t>Amini</w:t>
      </w:r>
      <w:proofErr w:type="spellEnd"/>
      <w:r w:rsidRPr="00BB5ADD">
        <w:rPr>
          <w:rFonts w:ascii="Times New Roman" w:hAnsi="Times New Roman" w:cs="Times New Roman"/>
        </w:rPr>
        <w:t xml:space="preserve"> MJ, </w:t>
      </w:r>
      <w:proofErr w:type="spellStart"/>
      <w:r w:rsidRPr="00BB5ADD">
        <w:rPr>
          <w:rFonts w:ascii="Times New Roman" w:hAnsi="Times New Roman" w:cs="Times New Roman"/>
        </w:rPr>
        <w:t>Arabzadeh</w:t>
      </w:r>
      <w:proofErr w:type="spellEnd"/>
      <w:r w:rsidRPr="00BB5ADD">
        <w:rPr>
          <w:rFonts w:ascii="Times New Roman" w:hAnsi="Times New Roman" w:cs="Times New Roman"/>
        </w:rPr>
        <w:t xml:space="preserve"> </w:t>
      </w:r>
      <w:proofErr w:type="spellStart"/>
      <w:r w:rsidRPr="00BB5ADD">
        <w:rPr>
          <w:rFonts w:ascii="Times New Roman" w:hAnsi="Times New Roman" w:cs="Times New Roman"/>
        </w:rPr>
        <w:t>Bahri</w:t>
      </w:r>
      <w:proofErr w:type="spellEnd"/>
      <w:r w:rsidRPr="00BB5ADD">
        <w:rPr>
          <w:rFonts w:ascii="Times New Roman" w:hAnsi="Times New Roman" w:cs="Times New Roman"/>
        </w:rPr>
        <w:t xml:space="preserve"> R, </w:t>
      </w:r>
      <w:proofErr w:type="spellStart"/>
      <w:r w:rsidRPr="00BB5ADD">
        <w:rPr>
          <w:rFonts w:ascii="Times New Roman" w:hAnsi="Times New Roman" w:cs="Times New Roman"/>
        </w:rPr>
        <w:t>Jafarabady</w:t>
      </w:r>
      <w:proofErr w:type="spellEnd"/>
      <w:r w:rsidRPr="00BB5ADD">
        <w:rPr>
          <w:rFonts w:ascii="Times New Roman" w:hAnsi="Times New Roman" w:cs="Times New Roman"/>
        </w:rPr>
        <w:t xml:space="preserve"> K, Salehi SA, </w:t>
      </w:r>
      <w:proofErr w:type="spellStart"/>
      <w:r w:rsidRPr="00BB5ADD">
        <w:rPr>
          <w:rFonts w:ascii="Times New Roman" w:hAnsi="Times New Roman" w:cs="Times New Roman"/>
        </w:rPr>
        <w:t>Hajishah</w:t>
      </w:r>
      <w:proofErr w:type="spellEnd"/>
      <w:r w:rsidRPr="00BB5ADD">
        <w:rPr>
          <w:rFonts w:ascii="Times New Roman" w:hAnsi="Times New Roman" w:cs="Times New Roman"/>
        </w:rPr>
        <w:t xml:space="preserve"> H, </w:t>
      </w:r>
      <w:proofErr w:type="spellStart"/>
      <w:r w:rsidRPr="00BB5ADD">
        <w:rPr>
          <w:rFonts w:ascii="Times New Roman" w:hAnsi="Times New Roman" w:cs="Times New Roman"/>
        </w:rPr>
        <w:t>Mozhgani</w:t>
      </w:r>
      <w:proofErr w:type="spellEnd"/>
      <w:r w:rsidRPr="00BB5ADD">
        <w:rPr>
          <w:rFonts w:ascii="Times New Roman" w:hAnsi="Times New Roman" w:cs="Times New Roman"/>
        </w:rPr>
        <w:t xml:space="preserve"> SH. Herpesviruses reactivation following COVID-19 vaccination: a systematic review and meta-analysis. </w:t>
      </w:r>
      <w:proofErr w:type="spellStart"/>
      <w:r w:rsidRPr="00BB5ADD">
        <w:rPr>
          <w:rFonts w:ascii="Times New Roman" w:hAnsi="Times New Roman" w:cs="Times New Roman"/>
        </w:rPr>
        <w:t>Eur</w:t>
      </w:r>
      <w:proofErr w:type="spellEnd"/>
      <w:r w:rsidRPr="00BB5ADD">
        <w:rPr>
          <w:rFonts w:ascii="Times New Roman" w:hAnsi="Times New Roman" w:cs="Times New Roman"/>
        </w:rPr>
        <w:t xml:space="preserve"> J Med Res. 2023 Aug 10;28(1):278. doi: 10.1186/s40001-023-01238-9. PMID: 37559096; PMCID: PMC10413536.</w:t>
      </w:r>
    </w:p>
    <w:p w14:paraId="123D41B4"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hAnsi="Times New Roman" w:cs="Times New Roman"/>
        </w:rPr>
        <w:t>Fathy R.A., McMahon D.E., Lee C., Chamberlin G.C., Rosenbach M., Lipoff J.B., Tyagi A., Desai S.R., French L.E., Lim H.W., et al. Varicella-zoster and herpes simplex virus reactivation post-COVID-19 vaccination: a review of 40 cases in an International Dermatology Registry. JEADV. 2022;36(1):e6–e9. doi: 10.1111/jdv.17646.</w:t>
      </w:r>
    </w:p>
    <w:p w14:paraId="530E503C"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hyperlink r:id="rId28" w:history="1">
        <w:r w:rsidRPr="00BB5ADD">
          <w:rPr>
            <w:rStyle w:val="Hyperlink"/>
            <w:rFonts w:ascii="Times New Roman" w:hAnsi="Times New Roman" w:cs="Times New Roman"/>
            <w:color w:val="auto"/>
            <w:u w:val="none"/>
          </w:rPr>
          <w:t>https://www.sciencedirect.com/science/article/pii/S1743919110004826?ref=pdf_download&amp;fr=RR-2&amp;rr=91a220b07d1c44d3</w:t>
        </w:r>
      </w:hyperlink>
    </w:p>
    <w:p w14:paraId="6728F053" w14:textId="77777777" w:rsidR="00661A68" w:rsidRPr="00F83225" w:rsidRDefault="00661A68" w:rsidP="00661A68">
      <w:pPr>
        <w:pStyle w:val="ListParagraph"/>
        <w:numPr>
          <w:ilvl w:val="0"/>
          <w:numId w:val="23"/>
        </w:numPr>
        <w:spacing w:after="160" w:line="278" w:lineRule="auto"/>
        <w:rPr>
          <w:rStyle w:val="Hyperlink"/>
          <w:rFonts w:ascii="Times New Roman" w:hAnsi="Times New Roman" w:cs="Times New Roman"/>
          <w:color w:val="auto"/>
          <w:u w:val="none"/>
        </w:rPr>
      </w:pPr>
      <w:hyperlink r:id="rId29" w:history="1">
        <w:r w:rsidRPr="00F83225">
          <w:rPr>
            <w:rStyle w:val="Hyperlink"/>
            <w:rFonts w:ascii="Times New Roman" w:hAnsi="Times New Roman" w:cs="Times New Roman"/>
            <w:color w:val="auto"/>
            <w:u w:val="none"/>
          </w:rPr>
          <w:t>https://www.ncbi.nlm.nih.gov/books/NBK441841/</w:t>
        </w:r>
      </w:hyperlink>
    </w:p>
    <w:p w14:paraId="28989AE3"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hyperlink r:id="rId30" w:history="1">
        <w:r w:rsidRPr="00BB5ADD">
          <w:rPr>
            <w:rStyle w:val="Hyperlink"/>
            <w:rFonts w:ascii="Times New Roman" w:hAnsi="Times New Roman" w:cs="Times New Roman"/>
            <w:color w:val="auto"/>
            <w:u w:val="none"/>
          </w:rPr>
          <w:t>https://www.cdc.gov/mmwr/volumes/71/wr/mm7131a4.htm</w:t>
        </w:r>
      </w:hyperlink>
    </w:p>
    <w:p w14:paraId="017ABE2D"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hyperlink r:id="rId31" w:history="1">
        <w:r w:rsidRPr="00BB5ADD">
          <w:rPr>
            <w:rStyle w:val="Hyperlink"/>
            <w:rFonts w:ascii="Times New Roman" w:hAnsi="Times New Roman" w:cs="Times New Roman"/>
            <w:color w:val="auto"/>
            <w:u w:val="none"/>
          </w:rPr>
          <w:t>https://www.cnn.com/2023/04/28/health/brain-abscess-cluster-nevada/index.html</w:t>
        </w:r>
      </w:hyperlink>
      <w:r w:rsidRPr="00BB5ADD">
        <w:rPr>
          <w:rFonts w:ascii="Times New Roman" w:hAnsi="Times New Roman" w:cs="Times New Roman"/>
        </w:rPr>
        <w:t xml:space="preserve"> (Accessed March 1, 2025)</w:t>
      </w:r>
    </w:p>
    <w:p w14:paraId="5CDE714E"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hAnsi="Times New Roman" w:cs="Times New Roman"/>
        </w:rPr>
        <w:t xml:space="preserve">Ismail II, Salama S. A systematic review of cases of CNS demyelination following COVID-19 vaccination. J </w:t>
      </w:r>
      <w:proofErr w:type="spellStart"/>
      <w:r w:rsidRPr="00BB5ADD">
        <w:rPr>
          <w:rFonts w:ascii="Times New Roman" w:hAnsi="Times New Roman" w:cs="Times New Roman"/>
        </w:rPr>
        <w:t>Neuroimmunol</w:t>
      </w:r>
      <w:proofErr w:type="spellEnd"/>
      <w:r w:rsidRPr="00BB5ADD">
        <w:rPr>
          <w:rFonts w:ascii="Times New Roman" w:hAnsi="Times New Roman" w:cs="Times New Roman"/>
        </w:rPr>
        <w:t>. 2022 Jan 15;362:577765. doi: 10.1016/j.jneuroim.2021.577765. Epub 2021 Nov 9. PMID: 34839149; PMCID: PMC8577051</w:t>
      </w:r>
    </w:p>
    <w:p w14:paraId="0A767786"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hAnsi="Times New Roman" w:cs="Times New Roman"/>
        </w:rPr>
        <w:t xml:space="preserve">Faksova K, Walsh D, Jiang Y, Griffin J, Phillips A, Gentile A, Kwong JC, Macartney K, Naus M, Grange Z, Escolano S, Sepulveda G, Shetty A, Pillsbury A, Sullivan C, Naveed Z, Janjua NZ, Giglio N, Perälä J, Nasreen S, Gidding H, Hovi P, Vo T, Cui F, Deng L, Cullen L, </w:t>
      </w:r>
      <w:proofErr w:type="spellStart"/>
      <w:r w:rsidRPr="00BB5ADD">
        <w:rPr>
          <w:rFonts w:ascii="Times New Roman" w:hAnsi="Times New Roman" w:cs="Times New Roman"/>
        </w:rPr>
        <w:t>Artama</w:t>
      </w:r>
      <w:proofErr w:type="spellEnd"/>
      <w:r w:rsidRPr="00BB5ADD">
        <w:rPr>
          <w:rFonts w:ascii="Times New Roman" w:hAnsi="Times New Roman" w:cs="Times New Roman"/>
        </w:rPr>
        <w:t xml:space="preserve"> M, Lu H, Clothier HJ, Batty K, Paynter J, </w:t>
      </w:r>
      <w:proofErr w:type="spellStart"/>
      <w:r w:rsidRPr="00BB5ADD">
        <w:rPr>
          <w:rFonts w:ascii="Times New Roman" w:hAnsi="Times New Roman" w:cs="Times New Roman"/>
        </w:rPr>
        <w:t>Petousis</w:t>
      </w:r>
      <w:proofErr w:type="spellEnd"/>
      <w:r w:rsidRPr="00BB5ADD">
        <w:rPr>
          <w:rFonts w:ascii="Times New Roman" w:hAnsi="Times New Roman" w:cs="Times New Roman"/>
        </w:rPr>
        <w:t>-Harris H, Buttery J, Black S, Hviid A. COVID-19 vaccines and adverse events of special interest: A multinational Global Vaccine Data Network (GVDN) cohort study of 99 million vaccinated individuals. Vaccine. 2024 Apr 2;42(9):2200-2211. doi: 10.1016/j.vaccine.2024.01.100. Epub 2024 Feb 12. PMID: 38350768.</w:t>
      </w:r>
    </w:p>
    <w:p w14:paraId="7DD3F54A" w14:textId="77777777" w:rsidR="00661A68" w:rsidRPr="00BB5ADD" w:rsidRDefault="00661A68" w:rsidP="00661A68">
      <w:pPr>
        <w:pStyle w:val="ListParagraph"/>
        <w:numPr>
          <w:ilvl w:val="0"/>
          <w:numId w:val="23"/>
        </w:numPr>
        <w:spacing w:after="160" w:line="278" w:lineRule="auto"/>
        <w:rPr>
          <w:rStyle w:val="Hyperlink"/>
          <w:rFonts w:ascii="Times New Roman" w:hAnsi="Times New Roman" w:cs="Times New Roman"/>
          <w:color w:val="auto"/>
          <w:u w:val="none"/>
        </w:rPr>
      </w:pPr>
      <w:hyperlink r:id="rId32" w:history="1">
        <w:r w:rsidRPr="00BB5ADD">
          <w:rPr>
            <w:rStyle w:val="Hyperlink"/>
            <w:rFonts w:ascii="Times New Roman" w:hAnsi="Times New Roman" w:cs="Times New Roman"/>
            <w:color w:val="auto"/>
            <w:u w:val="none"/>
          </w:rPr>
          <w:t>https://my.clevelandclinic.org/health/diseases/prion-disease</w:t>
        </w:r>
      </w:hyperlink>
    </w:p>
    <w:p w14:paraId="47761F21"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proofErr w:type="spellStart"/>
      <w:r w:rsidRPr="00BB5ADD">
        <w:rPr>
          <w:rFonts w:ascii="Times New Roman" w:hAnsi="Times New Roman" w:cs="Times New Roman"/>
          <w:shd w:val="clear" w:color="auto" w:fill="FFFFFF"/>
        </w:rPr>
        <w:t>Prusiner</w:t>
      </w:r>
      <w:proofErr w:type="spellEnd"/>
      <w:r w:rsidRPr="00BB5ADD">
        <w:rPr>
          <w:rFonts w:ascii="Times New Roman" w:hAnsi="Times New Roman" w:cs="Times New Roman"/>
          <w:shd w:val="clear" w:color="auto" w:fill="FFFFFF"/>
        </w:rPr>
        <w:t xml:space="preserve"> SB. Woerman AL. </w:t>
      </w:r>
      <w:proofErr w:type="spellStart"/>
      <w:r w:rsidRPr="00BB5ADD">
        <w:rPr>
          <w:rFonts w:ascii="Times New Roman" w:hAnsi="Times New Roman" w:cs="Times New Roman"/>
          <w:shd w:val="clear" w:color="auto" w:fill="FFFFFF"/>
        </w:rPr>
        <w:t>Mordes</w:t>
      </w:r>
      <w:proofErr w:type="spellEnd"/>
      <w:r w:rsidRPr="00BB5ADD">
        <w:rPr>
          <w:rFonts w:ascii="Times New Roman" w:hAnsi="Times New Roman" w:cs="Times New Roman"/>
          <w:shd w:val="clear" w:color="auto" w:fill="FFFFFF"/>
        </w:rPr>
        <w:t xml:space="preserve"> DA. et al. Evidence for α-synuclein prions causing multiple system atrophy in humans with parkinsonism. Proc Natl Acad Sci U S A. 2015 Sep.22 22;112(38):E5308-17. doi: 10.1073/pnas.1514475112.</w:t>
      </w:r>
    </w:p>
    <w:p w14:paraId="19950996"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hAnsi="Times New Roman" w:cs="Times New Roman"/>
        </w:rPr>
        <w:t xml:space="preserve">Tetz G, Tetz V. Prion-like domains in spike protein of SARS-CoV-2 differ across its variants and enable changes in affinity to ACE2. </w:t>
      </w:r>
      <w:r w:rsidRPr="00BB5ADD">
        <w:rPr>
          <w:rFonts w:ascii="Times New Roman" w:hAnsi="Times New Roman" w:cs="Times New Roman"/>
          <w:i/>
          <w:iCs/>
        </w:rPr>
        <w:t>Microorganisms </w:t>
      </w:r>
      <w:r w:rsidRPr="00BB5ADD">
        <w:rPr>
          <w:rFonts w:ascii="Times New Roman" w:hAnsi="Times New Roman" w:cs="Times New Roman"/>
        </w:rPr>
        <w:t>2022;10(2):280. </w:t>
      </w:r>
      <w:hyperlink r:id="rId33" w:history="1">
        <w:r w:rsidRPr="00BB5ADD">
          <w:rPr>
            <w:rStyle w:val="Hyperlink"/>
            <w:rFonts w:ascii="Times New Roman" w:eastAsiaTheme="majorEastAsia" w:hAnsi="Times New Roman" w:cs="Times New Roman"/>
            <w:color w:val="auto"/>
            <w:u w:val="none"/>
          </w:rPr>
          <w:t>doi:10.3390/microorganisms10020280</w:t>
        </w:r>
      </w:hyperlink>
      <w:r w:rsidRPr="00BB5ADD">
        <w:rPr>
          <w:rFonts w:ascii="Times New Roman" w:hAnsi="Times New Roman" w:cs="Times New Roman"/>
        </w:rPr>
        <w:t>.</w:t>
      </w:r>
    </w:p>
    <w:p w14:paraId="059D75BF"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hAnsi="Times New Roman" w:cs="Times New Roman"/>
        </w:rPr>
        <w:t xml:space="preserve">Seneff S, Nigh G. Worse than the Disease? Reviewing Some Possible Unintended Consequences of the mRNA Vaccines Against COVID-19. </w:t>
      </w:r>
      <w:r w:rsidRPr="00BB5ADD">
        <w:rPr>
          <w:rFonts w:ascii="Times New Roman" w:hAnsi="Times New Roman" w:cs="Times New Roman"/>
          <w:i/>
          <w:iCs/>
        </w:rPr>
        <w:t xml:space="preserve">Int. J. Vaccine, Theory, Pract. Res. </w:t>
      </w:r>
      <w:r w:rsidRPr="00BB5ADD">
        <w:rPr>
          <w:rFonts w:ascii="Times New Roman" w:hAnsi="Times New Roman" w:cs="Times New Roman"/>
        </w:rPr>
        <w:t xml:space="preserve">2021;2(1):38-19. </w:t>
      </w:r>
      <w:hyperlink r:id="rId34" w:history="1">
        <w:r w:rsidRPr="00BB5ADD">
          <w:rPr>
            <w:rStyle w:val="Hyperlink"/>
            <w:rFonts w:ascii="Times New Roman" w:eastAsiaTheme="majorEastAsia" w:hAnsi="Times New Roman" w:cs="Times New Roman"/>
            <w:color w:val="auto"/>
            <w:u w:val="none"/>
          </w:rPr>
          <w:t>doi:10.56098/ijvtpr.v2i1.23</w:t>
        </w:r>
      </w:hyperlink>
      <w:r w:rsidRPr="00BB5ADD">
        <w:rPr>
          <w:rFonts w:ascii="Times New Roman" w:hAnsi="Times New Roman" w:cs="Times New Roman"/>
        </w:rPr>
        <w:t xml:space="preserve">.    </w:t>
      </w:r>
    </w:p>
    <w:p w14:paraId="04BAC0FC" w14:textId="77777777" w:rsidR="00661A68" w:rsidRPr="00BB5ADD" w:rsidRDefault="00661A68" w:rsidP="00661A68">
      <w:pPr>
        <w:pStyle w:val="ListParagraph"/>
        <w:numPr>
          <w:ilvl w:val="0"/>
          <w:numId w:val="23"/>
        </w:numPr>
        <w:spacing w:after="160" w:line="278" w:lineRule="auto"/>
        <w:rPr>
          <w:rFonts w:ascii="Times New Roman" w:eastAsiaTheme="majorEastAsia" w:hAnsi="Times New Roman" w:cs="Times New Roman"/>
        </w:rPr>
      </w:pPr>
      <w:r w:rsidRPr="00BB5ADD">
        <w:rPr>
          <w:rFonts w:ascii="Times New Roman" w:eastAsiaTheme="majorEastAsia" w:hAnsi="Times New Roman" w:cs="Times New Roman"/>
        </w:rPr>
        <w:t xml:space="preserve">Thorp KE, Thorp JA, Thorp EM, Thorp MM, Walker PR. COVID-19: Energy, Protein Folding &amp; Prion Disease. G Med Sci. 2022; 3(1): 0179-0206. </w:t>
      </w:r>
      <w:hyperlink r:id="rId35" w:history="1">
        <w:r w:rsidRPr="00BB5ADD">
          <w:rPr>
            <w:rStyle w:val="Hyperlink"/>
            <w:rFonts w:ascii="Times New Roman" w:eastAsiaTheme="majorEastAsia" w:hAnsi="Times New Roman" w:cs="Times New Roman"/>
            <w:color w:val="auto"/>
            <w:u w:val="none"/>
          </w:rPr>
          <w:t>https://www.doi.org/10.46766/thegms.neuro.22083101</w:t>
        </w:r>
      </w:hyperlink>
    </w:p>
    <w:p w14:paraId="0B8A378D"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eastAsiaTheme="majorEastAsia" w:hAnsi="Times New Roman" w:cs="Times New Roman"/>
        </w:rPr>
        <w:t xml:space="preserve">Thorp JA, Rogers C, Cosgrove K, Hatfill S, Breggin P, Pinsky D, McCullough PA. Association between COVID-19 Vaccination and </w:t>
      </w:r>
      <w:proofErr w:type="spellStart"/>
      <w:r w:rsidRPr="00BB5ADD">
        <w:rPr>
          <w:rFonts w:ascii="Times New Roman" w:eastAsiaTheme="majorEastAsia" w:hAnsi="Times New Roman" w:cs="Times New Roman"/>
        </w:rPr>
        <w:t>Neuropsychatric</w:t>
      </w:r>
      <w:proofErr w:type="spellEnd"/>
      <w:r w:rsidRPr="00BB5ADD">
        <w:rPr>
          <w:rFonts w:ascii="Times New Roman" w:eastAsiaTheme="majorEastAsia" w:hAnsi="Times New Roman" w:cs="Times New Roman"/>
        </w:rPr>
        <w:t xml:space="preserve"> Conditions. International Journal of Innovative Research in Medical Science (IJIRMS). Volume 10, Issue 06, June 2025. </w:t>
      </w:r>
      <w:hyperlink r:id="rId36" w:history="1">
        <w:r w:rsidRPr="00BB5ADD">
          <w:rPr>
            <w:rStyle w:val="Hyperlink"/>
            <w:rFonts w:ascii="Times New Roman" w:eastAsiaTheme="majorEastAsia" w:hAnsi="Times New Roman" w:cs="Times New Roman"/>
            <w:color w:val="auto"/>
            <w:u w:val="none"/>
          </w:rPr>
          <w:t>https://doi.org/10.23958/ijirms/vol10-i06/2090</w:t>
        </w:r>
      </w:hyperlink>
      <w:r w:rsidRPr="00BB5ADD">
        <w:rPr>
          <w:rFonts w:ascii="Times New Roman" w:eastAsiaTheme="majorEastAsia" w:hAnsi="Times New Roman" w:cs="Times New Roman"/>
        </w:rPr>
        <w:t>.</w:t>
      </w:r>
    </w:p>
    <w:p w14:paraId="5081D1F2"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proofErr w:type="spellStart"/>
      <w:r w:rsidRPr="00BB5ADD">
        <w:rPr>
          <w:rFonts w:ascii="Times New Roman" w:hAnsi="Times New Roman" w:cs="Times New Roman"/>
        </w:rPr>
        <w:t>Ballout</w:t>
      </w:r>
      <w:proofErr w:type="spellEnd"/>
      <w:r w:rsidRPr="00BB5ADD">
        <w:rPr>
          <w:rFonts w:ascii="Times New Roman" w:hAnsi="Times New Roman" w:cs="Times New Roman"/>
        </w:rPr>
        <w:t xml:space="preserve"> AA, </w:t>
      </w:r>
      <w:proofErr w:type="spellStart"/>
      <w:r w:rsidRPr="00BB5ADD">
        <w:rPr>
          <w:rFonts w:ascii="Times New Roman" w:hAnsi="Times New Roman" w:cs="Times New Roman"/>
        </w:rPr>
        <w:t>Babaie</w:t>
      </w:r>
      <w:proofErr w:type="spellEnd"/>
      <w:r w:rsidRPr="00BB5ADD">
        <w:rPr>
          <w:rFonts w:ascii="Times New Roman" w:hAnsi="Times New Roman" w:cs="Times New Roman"/>
        </w:rPr>
        <w:t xml:space="preserve"> A, </w:t>
      </w:r>
      <w:proofErr w:type="spellStart"/>
      <w:r w:rsidRPr="00BB5ADD">
        <w:rPr>
          <w:rFonts w:ascii="Times New Roman" w:hAnsi="Times New Roman" w:cs="Times New Roman"/>
        </w:rPr>
        <w:t>Kolesnik</w:t>
      </w:r>
      <w:proofErr w:type="spellEnd"/>
      <w:r w:rsidRPr="00BB5ADD">
        <w:rPr>
          <w:rFonts w:ascii="Times New Roman" w:hAnsi="Times New Roman" w:cs="Times New Roman"/>
        </w:rPr>
        <w:t xml:space="preserve"> M, Li JY, Hameed N, Waldman G, Chaudhry F, Saba S, Harel A, Najjar S. </w:t>
      </w:r>
      <w:proofErr w:type="gramStart"/>
      <w:r w:rsidRPr="00BB5ADD">
        <w:rPr>
          <w:rFonts w:ascii="Times New Roman" w:hAnsi="Times New Roman" w:cs="Times New Roman"/>
        </w:rPr>
        <w:t>A</w:t>
      </w:r>
      <w:proofErr w:type="gramEnd"/>
      <w:r w:rsidRPr="00BB5ADD">
        <w:rPr>
          <w:rFonts w:ascii="Times New Roman" w:hAnsi="Times New Roman" w:cs="Times New Roman"/>
        </w:rPr>
        <w:t xml:space="preserve"> Single-Health System Case Series of New-Onset CNS Inflammatory Disorders Temporally Associated With mRNA-Based SARS-CoV-2 Vaccines. Front Neurol. 2022 Feb 24;13:796882. doi: 10.3389/fneur.2022.796882. PMID: 35280277; PMCID: PMC8908032.</w:t>
      </w:r>
    </w:p>
    <w:p w14:paraId="2A437B8C" w14:textId="71536F42" w:rsidR="00D0191A" w:rsidRPr="00BB5ADD" w:rsidRDefault="00D0191A" w:rsidP="00661A68">
      <w:pPr>
        <w:pStyle w:val="ListParagraph"/>
        <w:numPr>
          <w:ilvl w:val="0"/>
          <w:numId w:val="23"/>
        </w:numPr>
        <w:spacing w:after="160" w:line="278" w:lineRule="auto"/>
        <w:rPr>
          <w:rFonts w:ascii="Times New Roman" w:hAnsi="Times New Roman" w:cs="Times New Roman"/>
        </w:rPr>
      </w:pPr>
      <w:proofErr w:type="spellStart"/>
      <w:r w:rsidRPr="00BB5ADD">
        <w:rPr>
          <w:rFonts w:ascii="Times New Roman" w:hAnsi="Times New Roman" w:cs="Times New Roman"/>
        </w:rPr>
        <w:t>Shimonovich</w:t>
      </w:r>
      <w:proofErr w:type="spellEnd"/>
      <w:r w:rsidRPr="00BB5ADD">
        <w:rPr>
          <w:rFonts w:ascii="Times New Roman" w:hAnsi="Times New Roman" w:cs="Times New Roman"/>
        </w:rPr>
        <w:t xml:space="preserve"> M, Pearce A, Thomson H, Keyes K, </w:t>
      </w:r>
      <w:proofErr w:type="spellStart"/>
      <w:r w:rsidRPr="00BB5ADD">
        <w:rPr>
          <w:rFonts w:ascii="Times New Roman" w:hAnsi="Times New Roman" w:cs="Times New Roman"/>
        </w:rPr>
        <w:t>Katikireddi</w:t>
      </w:r>
      <w:proofErr w:type="spellEnd"/>
      <w:r w:rsidRPr="00BB5ADD">
        <w:rPr>
          <w:rFonts w:ascii="Times New Roman" w:hAnsi="Times New Roman" w:cs="Times New Roman"/>
        </w:rPr>
        <w:t xml:space="preserve"> SV. Assessing causality in epidemiology: revisiting Bradford Hill to incorporate developments in causal thinking. </w:t>
      </w:r>
      <w:proofErr w:type="spellStart"/>
      <w:r w:rsidRPr="00BB5ADD">
        <w:rPr>
          <w:rFonts w:ascii="Times New Roman" w:hAnsi="Times New Roman" w:cs="Times New Roman"/>
        </w:rPr>
        <w:t>Eur</w:t>
      </w:r>
      <w:proofErr w:type="spellEnd"/>
      <w:r w:rsidRPr="00BB5ADD">
        <w:rPr>
          <w:rFonts w:ascii="Times New Roman" w:hAnsi="Times New Roman" w:cs="Times New Roman"/>
        </w:rPr>
        <w:t xml:space="preserve"> J Epidemiol. 2021 Sep;36(9):873-887. doi: 10.1007/s10654-020-00703-7. Epub 2020 </w:t>
      </w:r>
      <w:r w:rsidRPr="00BB5ADD">
        <w:rPr>
          <w:rFonts w:ascii="Times New Roman" w:hAnsi="Times New Roman" w:cs="Times New Roman"/>
        </w:rPr>
        <w:lastRenderedPageBreak/>
        <w:t xml:space="preserve">Dec 16. PMID: 33324996; PMCID: PMC8206235. </w:t>
      </w:r>
      <w:hyperlink r:id="rId37" w:history="1">
        <w:r w:rsidRPr="00BB5ADD">
          <w:rPr>
            <w:rStyle w:val="Hyperlink"/>
            <w:rFonts w:ascii="Times New Roman" w:hAnsi="Times New Roman" w:cs="Times New Roman"/>
            <w:color w:val="auto"/>
          </w:rPr>
          <w:t>https://pmc.ncbi.nlm.nih.gov/articles/PMC8206235/</w:t>
        </w:r>
      </w:hyperlink>
    </w:p>
    <w:p w14:paraId="1F6013D2"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hAnsi="Times New Roman" w:cs="Times New Roman"/>
          <w:shd w:val="clear" w:color="auto" w:fill="FFFFFF"/>
        </w:rPr>
        <w:t xml:space="preserve">Seneff S, Nigh G, Kyriakopoulos AM, McCullough PA. Innate immune suppression by SARS-CoV-2 mRNA vaccinations: The role of G-quadruplexes, exosomes, and MicroRNAs. Food Chem </w:t>
      </w:r>
      <w:proofErr w:type="spellStart"/>
      <w:r w:rsidRPr="00BB5ADD">
        <w:rPr>
          <w:rFonts w:ascii="Times New Roman" w:hAnsi="Times New Roman" w:cs="Times New Roman"/>
          <w:shd w:val="clear" w:color="auto" w:fill="FFFFFF"/>
        </w:rPr>
        <w:t>Toxicol</w:t>
      </w:r>
      <w:proofErr w:type="spellEnd"/>
      <w:r w:rsidRPr="00BB5ADD">
        <w:rPr>
          <w:rFonts w:ascii="Times New Roman" w:hAnsi="Times New Roman" w:cs="Times New Roman"/>
          <w:shd w:val="clear" w:color="auto" w:fill="FFFFFF"/>
        </w:rPr>
        <w:t>. 2022 Jun;164:113008. doi: 10.1016/j.fct.2022.113008. Epub 2022 Apr 15. PMID: 35436552; PMCID: PMC9012513.</w:t>
      </w:r>
    </w:p>
    <w:p w14:paraId="43E53023" w14:textId="77777777" w:rsidR="00661A68" w:rsidRPr="00FB4216" w:rsidRDefault="00661A68" w:rsidP="00661A68">
      <w:pPr>
        <w:pStyle w:val="ListParagraph"/>
        <w:numPr>
          <w:ilvl w:val="0"/>
          <w:numId w:val="23"/>
        </w:numPr>
        <w:shd w:val="clear" w:color="auto" w:fill="FFFFFF"/>
        <w:spacing w:after="160" w:line="278" w:lineRule="auto"/>
        <w:rPr>
          <w:rStyle w:val="Hyperlink"/>
          <w:rFonts w:ascii="Times New Roman" w:hAnsi="Times New Roman" w:cs="Times New Roman"/>
          <w:color w:val="auto"/>
          <w:u w:val="none"/>
        </w:rPr>
      </w:pPr>
      <w:r w:rsidRPr="00BB5ADD">
        <w:rPr>
          <w:rFonts w:ascii="Times New Roman" w:hAnsi="Times New Roman" w:cs="Times New Roman"/>
        </w:rPr>
        <w:t xml:space="preserve">Czuprynski, C.J. (2016). Opsonization and Phagocytosis. In: Vohr, HW. (eds) Encyclopedia of Immunotoxicology. Springer, Berlin, Heidelberg. ISBN978-3-642-54595-5. </w:t>
      </w:r>
      <w:hyperlink r:id="rId38" w:history="1">
        <w:r w:rsidRPr="00BB5ADD">
          <w:rPr>
            <w:rStyle w:val="Hyperlink"/>
            <w:rFonts w:ascii="Times New Roman" w:eastAsiaTheme="majorEastAsia" w:hAnsi="Times New Roman" w:cs="Times New Roman"/>
            <w:color w:val="auto"/>
            <w:u w:val="none"/>
          </w:rPr>
          <w:t>https://doi.org/10.1007/978-3-642-54596-2_1113</w:t>
        </w:r>
      </w:hyperlink>
    </w:p>
    <w:p w14:paraId="1EE6A76E" w14:textId="25FAC87B" w:rsidR="005624B5" w:rsidRPr="00BB5ADD" w:rsidRDefault="005624B5" w:rsidP="00661A68">
      <w:pPr>
        <w:pStyle w:val="ListParagraph"/>
        <w:numPr>
          <w:ilvl w:val="0"/>
          <w:numId w:val="23"/>
        </w:numPr>
        <w:shd w:val="clear" w:color="auto" w:fill="FFFFFF"/>
        <w:spacing w:after="160" w:line="278" w:lineRule="auto"/>
        <w:rPr>
          <w:rFonts w:ascii="Times New Roman" w:hAnsi="Times New Roman" w:cs="Times New Roman"/>
        </w:rPr>
      </w:pPr>
      <w:r w:rsidRPr="00FB4216">
        <w:rPr>
          <w:rFonts w:ascii="Times New Roman" w:hAnsi="Times New Roman" w:cs="Times New Roman"/>
        </w:rPr>
        <w:t>Speicher, D. J., Rose, J., &amp; McKernan, K. (2025). Quantification of residual plasmid DNA and SV40 promoter-enhancer sequences in Pfizer/BioNTech and Moderna modRNA COVID-19 vaccines from Ontario, Canada. Autoimmunity, 58(1). https://doi.org/10.1080/08916934.2025.2551517</w:t>
      </w:r>
    </w:p>
    <w:p w14:paraId="4A74882E"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hyperlink r:id="rId39" w:history="1">
        <w:r w:rsidRPr="00BB5ADD">
          <w:rPr>
            <w:rStyle w:val="Hyperlink"/>
            <w:rFonts w:ascii="Times New Roman" w:eastAsiaTheme="majorEastAsia" w:hAnsi="Times New Roman" w:cs="Times New Roman"/>
            <w:color w:val="auto"/>
            <w:u w:val="none"/>
          </w:rPr>
          <w:t>https://ijvtpr.com/index.php/IJVTPR/article/view/23/316</w:t>
        </w:r>
      </w:hyperlink>
    </w:p>
    <w:p w14:paraId="739921E7"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hAnsi="Times New Roman" w:cs="Times New Roman"/>
        </w:rPr>
        <w:t>Hatfill. S., “Unmasked The Real Truth of the COVID-19 Tragedy”</w:t>
      </w:r>
      <w:r w:rsidRPr="00BB5ADD">
        <w:rPr>
          <w:rFonts w:ascii="Times New Roman" w:hAnsi="Times New Roman" w:cs="Times New Roman"/>
          <w:b/>
          <w:bCs/>
        </w:rPr>
        <w:t xml:space="preserve"> </w:t>
      </w:r>
      <w:r w:rsidRPr="00BB5ADD">
        <w:rPr>
          <w:rFonts w:ascii="Times New Roman" w:hAnsi="Times New Roman" w:cs="Times New Roman"/>
        </w:rPr>
        <w:t xml:space="preserve">Recursion Media Inc. ISBN: 979-8-9908751-4-2, ed. </w:t>
      </w:r>
      <w:proofErr w:type="spellStart"/>
      <w:proofErr w:type="gramStart"/>
      <w:r w:rsidRPr="00BB5ADD">
        <w:rPr>
          <w:rFonts w:ascii="Times New Roman" w:hAnsi="Times New Roman" w:cs="Times New Roman"/>
        </w:rPr>
        <w:t>G.Peyfuss</w:t>
      </w:r>
      <w:proofErr w:type="spellEnd"/>
      <w:proofErr w:type="gramEnd"/>
      <w:r w:rsidRPr="00BB5ADD">
        <w:rPr>
          <w:rFonts w:ascii="Times New Roman" w:hAnsi="Times New Roman" w:cs="Times New Roman"/>
        </w:rPr>
        <w:t xml:space="preserve">  (Amazon, Kindle, Barns and Noble).       </w:t>
      </w:r>
    </w:p>
    <w:p w14:paraId="54B688E9"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r w:rsidRPr="00BB5ADD">
        <w:rPr>
          <w:rFonts w:ascii="Times New Roman" w:hAnsi="Times New Roman" w:cs="Times New Roman"/>
          <w:lang w:val="en"/>
        </w:rPr>
        <w:t xml:space="preserve">“Toxic Shot Facing the Dangers of the COVID-19 Vaccines” Brindle B, Rich, H., et al. Amazon Publishers. </w:t>
      </w:r>
      <w:r w:rsidRPr="00BB5ADD">
        <w:rPr>
          <w:rFonts w:ascii="Times New Roman" w:hAnsi="Times New Roman" w:cs="Times New Roman"/>
        </w:rPr>
        <w:t>Jun 28, 2024. Amazon.com.</w:t>
      </w:r>
    </w:p>
    <w:p w14:paraId="79AF455B"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hyperlink r:id="rId40" w:history="1">
        <w:r w:rsidRPr="00BB5ADD">
          <w:rPr>
            <w:rStyle w:val="Hyperlink"/>
            <w:rFonts w:ascii="Times New Roman" w:hAnsi="Times New Roman" w:cs="Times New Roman"/>
            <w:color w:val="auto"/>
            <w:u w:val="none"/>
          </w:rPr>
          <w:t>https://ia902305.us.archive.org/28/items/pfizer-confidential-translated/pfizer-confidential-translated.pdf</w:t>
        </w:r>
      </w:hyperlink>
    </w:p>
    <w:p w14:paraId="5404B7C8" w14:textId="77777777" w:rsidR="00661A68" w:rsidRPr="00BB5ADD" w:rsidRDefault="00661A68" w:rsidP="00661A68">
      <w:pPr>
        <w:pStyle w:val="ListParagraph"/>
        <w:numPr>
          <w:ilvl w:val="0"/>
          <w:numId w:val="23"/>
        </w:numPr>
        <w:spacing w:after="160" w:line="278" w:lineRule="auto"/>
        <w:rPr>
          <w:rStyle w:val="Hyperlink"/>
          <w:rFonts w:ascii="Times New Roman" w:hAnsi="Times New Roman" w:cs="Times New Roman"/>
          <w:color w:val="auto"/>
          <w:u w:val="none"/>
        </w:rPr>
      </w:pPr>
      <w:hyperlink r:id="rId41" w:history="1">
        <w:r w:rsidRPr="00BB5ADD">
          <w:rPr>
            <w:rStyle w:val="Hyperlink"/>
            <w:rFonts w:ascii="Times New Roman" w:hAnsi="Times New Roman" w:cs="Times New Roman"/>
            <w:color w:val="auto"/>
            <w:u w:val="none"/>
          </w:rPr>
          <w:t>https://www.frontiersin.org/journals/immunology/articles/10.3389/fimmu.2024.1336906/full</w:t>
        </w:r>
      </w:hyperlink>
    </w:p>
    <w:p w14:paraId="540B59EF"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hyperlink r:id="rId42" w:history="1">
        <w:r w:rsidRPr="00BB5ADD">
          <w:rPr>
            <w:rStyle w:val="Hyperlink"/>
            <w:rFonts w:ascii="Times New Roman" w:hAnsi="Times New Roman" w:cs="Times New Roman"/>
            <w:color w:val="auto"/>
            <w:u w:val="none"/>
          </w:rPr>
          <w:t>https://dailysceptic.org/2023/02/11/the-cdc-lied-the-mrna-was-never-intended-to-stay-in-the-arm/</w:t>
        </w:r>
      </w:hyperlink>
    </w:p>
    <w:p w14:paraId="5285FD57" w14:textId="77777777" w:rsidR="00661A68" w:rsidRPr="00BB5ADD" w:rsidRDefault="00661A68" w:rsidP="00661A68">
      <w:pPr>
        <w:pStyle w:val="ListParagraph"/>
        <w:numPr>
          <w:ilvl w:val="0"/>
          <w:numId w:val="23"/>
        </w:numPr>
        <w:spacing w:after="160" w:line="278" w:lineRule="auto"/>
        <w:rPr>
          <w:rFonts w:ascii="Times New Roman" w:hAnsi="Times New Roman" w:cs="Times New Roman"/>
        </w:rPr>
      </w:pPr>
      <w:hyperlink r:id="rId43" w:history="1">
        <w:r w:rsidRPr="00BB5ADD">
          <w:rPr>
            <w:rStyle w:val="Hyperlink"/>
            <w:rFonts w:ascii="Times New Roman" w:hAnsi="Times New Roman" w:cs="Times New Roman"/>
            <w:color w:val="auto"/>
            <w:u w:val="none"/>
          </w:rPr>
          <w:t>https://usafacts.org/visualizations/covid-vaccine-tracker-states/</w:t>
        </w:r>
      </w:hyperlink>
    </w:p>
    <w:p w14:paraId="7954D270" w14:textId="77777777" w:rsidR="00661A68" w:rsidRPr="00BB5ADD" w:rsidRDefault="00661A68" w:rsidP="00661A68">
      <w:pPr>
        <w:pStyle w:val="ListParagraph"/>
        <w:numPr>
          <w:ilvl w:val="0"/>
          <w:numId w:val="23"/>
        </w:numPr>
        <w:spacing w:after="160" w:line="278" w:lineRule="auto"/>
        <w:rPr>
          <w:rStyle w:val="Hyperlink"/>
          <w:rFonts w:ascii="Times New Roman" w:hAnsi="Times New Roman" w:cs="Times New Roman"/>
          <w:color w:val="auto"/>
          <w:u w:val="none"/>
        </w:rPr>
      </w:pPr>
      <w:hyperlink r:id="rId44" w:history="1">
        <w:r w:rsidRPr="00BB5ADD">
          <w:rPr>
            <w:rStyle w:val="Hyperlink"/>
            <w:rFonts w:ascii="Times New Roman" w:hAnsi="Times New Roman" w:cs="Times New Roman"/>
            <w:color w:val="auto"/>
            <w:u w:val="none"/>
          </w:rPr>
          <w:t>https://www.medrxiv.org/content/10.1101/2025.02.18.25322379v1</w:t>
        </w:r>
      </w:hyperlink>
    </w:p>
    <w:p w14:paraId="4619F8BD" w14:textId="77777777" w:rsidR="00661A68" w:rsidRPr="00BB5ADD" w:rsidRDefault="00661A68" w:rsidP="00661A68">
      <w:pPr>
        <w:pStyle w:val="ListParagraph"/>
        <w:numPr>
          <w:ilvl w:val="0"/>
          <w:numId w:val="23"/>
        </w:numPr>
        <w:autoSpaceDE w:val="0"/>
        <w:autoSpaceDN w:val="0"/>
        <w:adjustRightInd w:val="0"/>
        <w:spacing w:after="160" w:line="278" w:lineRule="auto"/>
        <w:rPr>
          <w:rFonts w:ascii="Times New Roman" w:hAnsi="Times New Roman" w:cs="Times New Roman"/>
        </w:rPr>
      </w:pPr>
      <w:r w:rsidRPr="00BB5ADD">
        <w:rPr>
          <w:rFonts w:ascii="Times New Roman" w:hAnsi="Times New Roman" w:cs="Times New Roman"/>
        </w:rPr>
        <w:t xml:space="preserve">Fraiman J, Erviti J, Jones M, et al. Serious adverse events of special interest following mRNA COVID-19 vaccination in randomized trials in adults. </w:t>
      </w:r>
      <w:r w:rsidRPr="00BB5ADD">
        <w:rPr>
          <w:rFonts w:ascii="Times New Roman" w:hAnsi="Times New Roman" w:cs="Times New Roman"/>
          <w:i/>
          <w:iCs/>
        </w:rPr>
        <w:t xml:space="preserve">Vaccine </w:t>
      </w:r>
      <w:r w:rsidRPr="00BB5ADD">
        <w:rPr>
          <w:rFonts w:ascii="Times New Roman" w:hAnsi="Times New Roman" w:cs="Times New Roman"/>
        </w:rPr>
        <w:t>2022;40(40):5798-5805. doi: 10.1016/j.vaccine.2022.08.036. Accessed Nov 12, 2024.</w:t>
      </w:r>
    </w:p>
    <w:p w14:paraId="6D6853A2" w14:textId="77777777" w:rsidR="00661A68" w:rsidRPr="00BB5ADD" w:rsidRDefault="00661A68" w:rsidP="00661A68">
      <w:pPr>
        <w:ind w:left="360"/>
      </w:pPr>
    </w:p>
    <w:p w14:paraId="5F668CF1" w14:textId="77777777" w:rsidR="00910F62" w:rsidRPr="00CF3785" w:rsidRDefault="00910F62" w:rsidP="00045BC5">
      <w:pPr>
        <w:rPr>
          <w:color w:val="000000" w:themeColor="text1"/>
        </w:rPr>
        <w:sectPr w:rsidR="00910F62" w:rsidRPr="00CF3785">
          <w:footerReference w:type="default" r:id="rId45"/>
          <w:pgSz w:w="12240" w:h="15840"/>
          <w:pgMar w:top="1440" w:right="1440" w:bottom="1440" w:left="1440" w:header="720" w:footer="720" w:gutter="0"/>
          <w:cols w:space="720"/>
          <w:docGrid w:linePitch="360"/>
        </w:sectPr>
      </w:pPr>
    </w:p>
    <w:p w14:paraId="789FC5FA" w14:textId="77777777" w:rsidR="00E8648D" w:rsidRDefault="00E8648D" w:rsidP="00E8648D">
      <w:pPr>
        <w:pStyle w:val="NormalWeb"/>
      </w:pPr>
      <w:r>
        <w:rPr>
          <w:rStyle w:val="Strong"/>
        </w:rPr>
        <w:lastRenderedPageBreak/>
        <w:t>Figure 1. COVID-19 Vaccine-Induced Disruption of the Blood–Brain Barrier and Pathogenic Outcomes</w:t>
      </w:r>
    </w:p>
    <w:p w14:paraId="1F66570C" w14:textId="23122AFF" w:rsidR="00E8648D" w:rsidRPr="001A2A26" w:rsidRDefault="00E8648D" w:rsidP="00045BC5">
      <w:pPr>
        <w:rPr>
          <w:color w:val="000000" w:themeColor="text1"/>
          <w:sz w:val="22"/>
          <w:szCs w:val="22"/>
        </w:rPr>
      </w:pPr>
      <w:r w:rsidRPr="001A2A26">
        <w:rPr>
          <w:sz w:val="22"/>
          <w:szCs w:val="22"/>
        </w:rPr>
        <w:t>Illustration of the proposed mechanism by which mRNA vaccine lipid nanoparticles (LNPs) and spike proteins contribute to disruption of the blood–brain barrier (BBB). Once BBB integrity is compromised, pathogens, vaccine components and inflammatory mediators can enter the central nervous system, leading to vascular inflammation, thrombus formation, and secondary infections. Severe outcomes include bacterial or viral meningitis, autoimmune or infectious encephalitis, herpetic reactivation syndromes, cerebral abscess formation, spinal cord infections and myelitis, and rare neurodegenerative or prion-like conditions. *Created with Biorender.com</w:t>
      </w:r>
    </w:p>
    <w:p w14:paraId="34679AD9" w14:textId="0E7D4ADE" w:rsidR="00E8648D" w:rsidRDefault="00E8648D" w:rsidP="00045BC5">
      <w:pPr>
        <w:rPr>
          <w:color w:val="000000" w:themeColor="text1"/>
        </w:rPr>
      </w:pPr>
      <w:r>
        <w:rPr>
          <w:noProof/>
          <w:color w:val="000000" w:themeColor="text1"/>
          <w14:ligatures w14:val="standardContextual"/>
        </w:rPr>
        <w:drawing>
          <wp:anchor distT="0" distB="0" distL="114300" distR="114300" simplePos="0" relativeHeight="251658240" behindDoc="0" locked="0" layoutInCell="1" allowOverlap="1" wp14:anchorId="20F77949" wp14:editId="47DB9E4D">
            <wp:simplePos x="0" y="0"/>
            <wp:positionH relativeFrom="column">
              <wp:posOffset>0</wp:posOffset>
            </wp:positionH>
            <wp:positionV relativeFrom="paragraph">
              <wp:posOffset>135890</wp:posOffset>
            </wp:positionV>
            <wp:extent cx="5726430" cy="4246245"/>
            <wp:effectExtent l="0" t="0" r="1270" b="0"/>
            <wp:wrapSquare wrapText="bothSides"/>
            <wp:docPr id="461039175" name="Picture 1" descr="A diagram of a brain with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39175" name="Picture 1" descr="A diagram of a brain with a syringe&#10;&#10;AI-generated content may be incorrect."/>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726430" cy="4246245"/>
                    </a:xfrm>
                    <a:prstGeom prst="rect">
                      <a:avLst/>
                    </a:prstGeom>
                  </pic:spPr>
                </pic:pic>
              </a:graphicData>
            </a:graphic>
            <wp14:sizeRelH relativeFrom="page">
              <wp14:pctWidth>0</wp14:pctWidth>
            </wp14:sizeRelH>
            <wp14:sizeRelV relativeFrom="page">
              <wp14:pctHeight>0</wp14:pctHeight>
            </wp14:sizeRelV>
          </wp:anchor>
        </w:drawing>
      </w:r>
    </w:p>
    <w:p w14:paraId="3BBFC944" w14:textId="2E0A4A39" w:rsidR="00E8648D" w:rsidRDefault="00E8648D" w:rsidP="00045BC5">
      <w:pPr>
        <w:rPr>
          <w:color w:val="000000" w:themeColor="text1"/>
        </w:rPr>
      </w:pPr>
    </w:p>
    <w:p w14:paraId="5304FB0D" w14:textId="3605A446" w:rsidR="00E8648D" w:rsidRDefault="00E8648D" w:rsidP="00045BC5">
      <w:pPr>
        <w:rPr>
          <w:color w:val="000000" w:themeColor="text1"/>
        </w:rPr>
      </w:pPr>
    </w:p>
    <w:p w14:paraId="43C60C31" w14:textId="1EBC40DF" w:rsidR="00E8648D" w:rsidRDefault="00E8648D" w:rsidP="00045BC5">
      <w:pPr>
        <w:rPr>
          <w:color w:val="000000" w:themeColor="text1"/>
        </w:rPr>
      </w:pPr>
    </w:p>
    <w:p w14:paraId="504AFEAA" w14:textId="77777777" w:rsidR="00E8648D" w:rsidRDefault="00E8648D" w:rsidP="00045BC5">
      <w:pPr>
        <w:rPr>
          <w:color w:val="000000" w:themeColor="text1"/>
        </w:rPr>
      </w:pPr>
    </w:p>
    <w:p w14:paraId="13D4A83B" w14:textId="77777777" w:rsidR="00E8648D" w:rsidRDefault="00E8648D" w:rsidP="00045BC5">
      <w:pPr>
        <w:rPr>
          <w:color w:val="000000" w:themeColor="text1"/>
        </w:rPr>
      </w:pPr>
    </w:p>
    <w:p w14:paraId="0E7BE673" w14:textId="77777777" w:rsidR="00E8648D" w:rsidRDefault="00E8648D" w:rsidP="00045BC5">
      <w:pPr>
        <w:rPr>
          <w:color w:val="000000" w:themeColor="text1"/>
        </w:rPr>
      </w:pPr>
    </w:p>
    <w:p w14:paraId="5912D1F2" w14:textId="77777777" w:rsidR="00E8648D" w:rsidRDefault="00E8648D" w:rsidP="00045BC5">
      <w:pPr>
        <w:rPr>
          <w:color w:val="000000" w:themeColor="text1"/>
        </w:rPr>
      </w:pPr>
    </w:p>
    <w:p w14:paraId="0D8CCFCF" w14:textId="77777777" w:rsidR="00E8648D" w:rsidRDefault="00E8648D" w:rsidP="00045BC5">
      <w:pPr>
        <w:rPr>
          <w:color w:val="000000" w:themeColor="text1"/>
        </w:rPr>
      </w:pPr>
    </w:p>
    <w:p w14:paraId="0180749A" w14:textId="77777777" w:rsidR="00E8648D" w:rsidRDefault="00E8648D" w:rsidP="00045BC5">
      <w:pPr>
        <w:rPr>
          <w:color w:val="000000" w:themeColor="text1"/>
        </w:rPr>
      </w:pPr>
    </w:p>
    <w:p w14:paraId="53B87BD7" w14:textId="77777777" w:rsidR="00E8648D" w:rsidRDefault="00E8648D" w:rsidP="00045BC5">
      <w:pPr>
        <w:rPr>
          <w:color w:val="000000" w:themeColor="text1"/>
        </w:rPr>
      </w:pPr>
    </w:p>
    <w:p w14:paraId="618F5520" w14:textId="77777777" w:rsidR="00E8648D" w:rsidRDefault="00E8648D" w:rsidP="00045BC5">
      <w:pPr>
        <w:rPr>
          <w:color w:val="000000" w:themeColor="text1"/>
        </w:rPr>
      </w:pPr>
    </w:p>
    <w:p w14:paraId="6575B338" w14:textId="77777777" w:rsidR="00E8648D" w:rsidRDefault="00E8648D" w:rsidP="00045BC5">
      <w:pPr>
        <w:rPr>
          <w:color w:val="000000" w:themeColor="text1"/>
        </w:rPr>
      </w:pPr>
    </w:p>
    <w:p w14:paraId="37F6E690" w14:textId="77777777" w:rsidR="00E8648D" w:rsidRDefault="00E8648D" w:rsidP="00045BC5">
      <w:pPr>
        <w:rPr>
          <w:color w:val="000000" w:themeColor="text1"/>
        </w:rPr>
      </w:pPr>
    </w:p>
    <w:p w14:paraId="625B1AD3" w14:textId="77777777" w:rsidR="00E8648D" w:rsidRDefault="00E8648D" w:rsidP="00045BC5">
      <w:pPr>
        <w:rPr>
          <w:color w:val="000000" w:themeColor="text1"/>
        </w:rPr>
      </w:pPr>
    </w:p>
    <w:p w14:paraId="79E7065E" w14:textId="77777777" w:rsidR="00E8648D" w:rsidRDefault="00E8648D" w:rsidP="00045BC5">
      <w:pPr>
        <w:rPr>
          <w:color w:val="000000" w:themeColor="text1"/>
        </w:rPr>
      </w:pPr>
    </w:p>
    <w:p w14:paraId="386049F2" w14:textId="77777777" w:rsidR="00E8648D" w:rsidRDefault="00E8648D" w:rsidP="00045BC5">
      <w:pPr>
        <w:rPr>
          <w:color w:val="000000" w:themeColor="text1"/>
        </w:rPr>
      </w:pPr>
    </w:p>
    <w:p w14:paraId="135B1F7E" w14:textId="77777777" w:rsidR="00E8648D" w:rsidRDefault="00E8648D" w:rsidP="00045BC5">
      <w:pPr>
        <w:rPr>
          <w:color w:val="000000" w:themeColor="text1"/>
        </w:rPr>
      </w:pPr>
    </w:p>
    <w:p w14:paraId="3EEB031F" w14:textId="77777777" w:rsidR="00E8648D" w:rsidRDefault="00E8648D" w:rsidP="00045BC5">
      <w:pPr>
        <w:rPr>
          <w:color w:val="000000" w:themeColor="text1"/>
        </w:rPr>
      </w:pPr>
    </w:p>
    <w:p w14:paraId="2CF12168" w14:textId="77777777" w:rsidR="00E8648D" w:rsidRDefault="00E8648D" w:rsidP="00045BC5">
      <w:pPr>
        <w:rPr>
          <w:color w:val="000000" w:themeColor="text1"/>
        </w:rPr>
      </w:pPr>
    </w:p>
    <w:p w14:paraId="15FFB6D9" w14:textId="77777777" w:rsidR="00E8648D" w:rsidRDefault="00E8648D" w:rsidP="00045BC5">
      <w:pPr>
        <w:rPr>
          <w:color w:val="000000" w:themeColor="text1"/>
        </w:rPr>
      </w:pPr>
    </w:p>
    <w:p w14:paraId="0C022EF7" w14:textId="77777777" w:rsidR="00E8648D" w:rsidRDefault="00E8648D" w:rsidP="00045BC5">
      <w:pPr>
        <w:rPr>
          <w:color w:val="000000" w:themeColor="text1"/>
        </w:rPr>
      </w:pPr>
    </w:p>
    <w:p w14:paraId="3C1C57D8" w14:textId="77777777" w:rsidR="00E8648D" w:rsidRDefault="00E8648D" w:rsidP="00045BC5">
      <w:pPr>
        <w:rPr>
          <w:color w:val="000000" w:themeColor="text1"/>
        </w:rPr>
      </w:pPr>
    </w:p>
    <w:p w14:paraId="386B2E35" w14:textId="77777777" w:rsidR="00E8648D" w:rsidRDefault="00E8648D" w:rsidP="00045BC5">
      <w:pPr>
        <w:rPr>
          <w:color w:val="000000" w:themeColor="text1"/>
        </w:rPr>
      </w:pPr>
    </w:p>
    <w:p w14:paraId="46FCE5F8" w14:textId="77777777" w:rsidR="00E8648D" w:rsidRDefault="00E8648D" w:rsidP="00045BC5">
      <w:pPr>
        <w:rPr>
          <w:color w:val="000000" w:themeColor="text1"/>
        </w:rPr>
      </w:pPr>
    </w:p>
    <w:p w14:paraId="4393931D" w14:textId="77777777" w:rsidR="00E8648D" w:rsidRDefault="00E8648D" w:rsidP="00045BC5">
      <w:pPr>
        <w:rPr>
          <w:color w:val="000000" w:themeColor="text1"/>
        </w:rPr>
      </w:pPr>
    </w:p>
    <w:p w14:paraId="2DDE0188" w14:textId="77777777" w:rsidR="00E8648D" w:rsidRDefault="00E8648D" w:rsidP="00045BC5">
      <w:pPr>
        <w:rPr>
          <w:color w:val="000000" w:themeColor="text1"/>
        </w:rPr>
      </w:pPr>
    </w:p>
    <w:p w14:paraId="30163651" w14:textId="77777777" w:rsidR="00E8648D" w:rsidRDefault="00E8648D" w:rsidP="00045BC5">
      <w:pPr>
        <w:rPr>
          <w:color w:val="000000" w:themeColor="text1"/>
        </w:rPr>
      </w:pPr>
    </w:p>
    <w:p w14:paraId="46CE595D" w14:textId="77777777" w:rsidR="00E8648D" w:rsidRDefault="00E8648D" w:rsidP="00045BC5">
      <w:pPr>
        <w:rPr>
          <w:color w:val="000000" w:themeColor="text1"/>
        </w:rPr>
      </w:pPr>
    </w:p>
    <w:p w14:paraId="7A936D7D" w14:textId="77777777" w:rsidR="00E8648D" w:rsidRPr="00CF3785" w:rsidRDefault="00E8648D" w:rsidP="00045BC5">
      <w:pPr>
        <w:rPr>
          <w:color w:val="000000" w:themeColor="text1"/>
        </w:rPr>
      </w:pPr>
    </w:p>
    <w:p w14:paraId="2518207D" w14:textId="39A694A4" w:rsidR="004616B4" w:rsidRPr="00CF3785" w:rsidRDefault="00C565AF" w:rsidP="00045BC5">
      <w:pPr>
        <w:rPr>
          <w:color w:val="000000" w:themeColor="text1"/>
        </w:rPr>
      </w:pPr>
      <w:r>
        <w:t xml:space="preserve">Table 1. Central Nervous System (CNS) Infections Reported to VAERS Following COVID-19 Vaccination Compared </w:t>
      </w:r>
      <w:proofErr w:type="gramStart"/>
      <w:r>
        <w:t>With</w:t>
      </w:r>
      <w:proofErr w:type="gramEnd"/>
      <w:r>
        <w:t xml:space="preserve"> Influenza and All Other Vaccines</w:t>
      </w:r>
    </w:p>
    <w:tbl>
      <w:tblPr>
        <w:tblW w:w="12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1003"/>
        <w:gridCol w:w="24"/>
        <w:gridCol w:w="1280"/>
        <w:gridCol w:w="720"/>
        <w:gridCol w:w="3268"/>
        <w:gridCol w:w="3364"/>
      </w:tblGrid>
      <w:tr w:rsidR="00DE48E0" w:rsidRPr="00CF3785" w14:paraId="6BBC56C1" w14:textId="77777777" w:rsidTr="00BD0483">
        <w:trPr>
          <w:trHeight w:val="1020"/>
          <w:tblHeader/>
        </w:trPr>
        <w:tc>
          <w:tcPr>
            <w:tcW w:w="3330" w:type="dxa"/>
            <w:noWrap/>
            <w:vAlign w:val="bottom"/>
            <w:hideMark/>
          </w:tcPr>
          <w:p w14:paraId="5CB27182" w14:textId="77777777" w:rsidR="00DE48E0" w:rsidRPr="00CF3785" w:rsidRDefault="00DE48E0" w:rsidP="00893323">
            <w:pPr>
              <w:rPr>
                <w:color w:val="000000" w:themeColor="text1"/>
              </w:rPr>
            </w:pPr>
          </w:p>
        </w:tc>
        <w:tc>
          <w:tcPr>
            <w:tcW w:w="1027" w:type="dxa"/>
            <w:gridSpan w:val="2"/>
            <w:noWrap/>
            <w:vAlign w:val="bottom"/>
            <w:hideMark/>
          </w:tcPr>
          <w:p w14:paraId="44B9807D" w14:textId="77777777" w:rsidR="00DE48E0" w:rsidRPr="00CF3785" w:rsidRDefault="00DE48E0" w:rsidP="00893323">
            <w:pPr>
              <w:rPr>
                <w:b/>
                <w:bCs/>
                <w:color w:val="000000" w:themeColor="text1"/>
              </w:rPr>
            </w:pPr>
            <w:r w:rsidRPr="00CF3785">
              <w:rPr>
                <w:b/>
                <w:bCs/>
                <w:color w:val="000000" w:themeColor="text1"/>
              </w:rPr>
              <w:t xml:space="preserve">COVID </w:t>
            </w:r>
          </w:p>
        </w:tc>
        <w:tc>
          <w:tcPr>
            <w:tcW w:w="1280" w:type="dxa"/>
            <w:noWrap/>
            <w:vAlign w:val="bottom"/>
            <w:hideMark/>
          </w:tcPr>
          <w:p w14:paraId="1B830358" w14:textId="77777777" w:rsidR="00DE48E0" w:rsidRPr="00CF3785" w:rsidRDefault="00DE48E0" w:rsidP="00893323">
            <w:pPr>
              <w:rPr>
                <w:b/>
                <w:bCs/>
                <w:color w:val="000000" w:themeColor="text1"/>
              </w:rPr>
            </w:pPr>
            <w:r w:rsidRPr="00CF3785">
              <w:rPr>
                <w:b/>
                <w:bCs/>
                <w:color w:val="000000" w:themeColor="text1"/>
              </w:rPr>
              <w:t>Influenza</w:t>
            </w:r>
          </w:p>
        </w:tc>
        <w:tc>
          <w:tcPr>
            <w:tcW w:w="720" w:type="dxa"/>
            <w:tcBorders>
              <w:bottom w:val="single" w:sz="4" w:space="0" w:color="auto"/>
            </w:tcBorders>
            <w:noWrap/>
            <w:vAlign w:val="bottom"/>
            <w:hideMark/>
          </w:tcPr>
          <w:p w14:paraId="0C2408D6" w14:textId="77777777" w:rsidR="00DE48E0" w:rsidRPr="00CF3785" w:rsidRDefault="00DE48E0" w:rsidP="001A3690">
            <w:pPr>
              <w:jc w:val="center"/>
              <w:rPr>
                <w:b/>
                <w:bCs/>
                <w:color w:val="000000" w:themeColor="text1"/>
              </w:rPr>
            </w:pPr>
            <w:r w:rsidRPr="00CF3785">
              <w:rPr>
                <w:b/>
                <w:bCs/>
                <w:color w:val="000000" w:themeColor="text1"/>
              </w:rPr>
              <w:t>All Vax</w:t>
            </w:r>
          </w:p>
        </w:tc>
        <w:tc>
          <w:tcPr>
            <w:tcW w:w="3268" w:type="dxa"/>
            <w:tcBorders>
              <w:bottom w:val="single" w:sz="4" w:space="0" w:color="auto"/>
            </w:tcBorders>
            <w:vAlign w:val="bottom"/>
            <w:hideMark/>
          </w:tcPr>
          <w:p w14:paraId="663B6BCA" w14:textId="77777777" w:rsidR="007023F7" w:rsidRDefault="00DE48E0" w:rsidP="00893323">
            <w:pPr>
              <w:jc w:val="center"/>
              <w:rPr>
                <w:b/>
                <w:bCs/>
                <w:color w:val="000000" w:themeColor="text1"/>
              </w:rPr>
            </w:pPr>
            <w:r w:rsidRPr="00CF3785">
              <w:rPr>
                <w:b/>
                <w:bCs/>
                <w:color w:val="000000" w:themeColor="text1"/>
              </w:rPr>
              <w:t xml:space="preserve">COVID vs Flu Vax </w:t>
            </w:r>
            <w:r>
              <w:rPr>
                <w:b/>
                <w:bCs/>
                <w:color w:val="000000" w:themeColor="text1"/>
              </w:rPr>
              <w:t>OR</w:t>
            </w:r>
            <w:r w:rsidRPr="00CF3785">
              <w:rPr>
                <w:b/>
                <w:bCs/>
                <w:color w:val="000000" w:themeColor="text1"/>
              </w:rPr>
              <w:t xml:space="preserve"> </w:t>
            </w:r>
          </w:p>
          <w:p w14:paraId="110D9B16" w14:textId="694DBC3D" w:rsidR="007023F7" w:rsidRDefault="00DE48E0" w:rsidP="00893323">
            <w:pPr>
              <w:jc w:val="center"/>
              <w:rPr>
                <w:b/>
                <w:bCs/>
                <w:color w:val="000000" w:themeColor="text1"/>
              </w:rPr>
            </w:pPr>
            <w:r w:rsidRPr="00CF3785">
              <w:rPr>
                <w:b/>
                <w:bCs/>
                <w:color w:val="000000" w:themeColor="text1"/>
              </w:rPr>
              <w:t xml:space="preserve">(95% Confidence Interval), </w:t>
            </w:r>
          </w:p>
          <w:p w14:paraId="5D73A041" w14:textId="51A87FDC" w:rsidR="00DE48E0" w:rsidRPr="00CF3785" w:rsidRDefault="00DE48E0" w:rsidP="00893323">
            <w:pPr>
              <w:jc w:val="center"/>
              <w:rPr>
                <w:b/>
                <w:bCs/>
                <w:color w:val="000000" w:themeColor="text1"/>
              </w:rPr>
            </w:pPr>
            <w:r w:rsidRPr="00CF3785">
              <w:rPr>
                <w:b/>
                <w:bCs/>
                <w:color w:val="000000" w:themeColor="text1"/>
              </w:rPr>
              <w:t>P Value, Z</w:t>
            </w:r>
            <w:r>
              <w:rPr>
                <w:b/>
                <w:bCs/>
                <w:color w:val="000000" w:themeColor="text1"/>
              </w:rPr>
              <w:t>-Score</w:t>
            </w:r>
          </w:p>
        </w:tc>
        <w:tc>
          <w:tcPr>
            <w:tcW w:w="3364" w:type="dxa"/>
            <w:tcBorders>
              <w:bottom w:val="single" w:sz="4" w:space="0" w:color="auto"/>
            </w:tcBorders>
            <w:vAlign w:val="bottom"/>
            <w:hideMark/>
          </w:tcPr>
          <w:p w14:paraId="1A50B415" w14:textId="77777777" w:rsidR="007023F7" w:rsidRDefault="00DE48E0" w:rsidP="00893323">
            <w:pPr>
              <w:jc w:val="center"/>
              <w:rPr>
                <w:b/>
                <w:bCs/>
                <w:color w:val="000000" w:themeColor="text1"/>
              </w:rPr>
            </w:pPr>
            <w:r w:rsidRPr="00CF3785">
              <w:rPr>
                <w:b/>
                <w:bCs/>
                <w:color w:val="000000" w:themeColor="text1"/>
              </w:rPr>
              <w:t xml:space="preserve">COVID vs All Vax </w:t>
            </w:r>
            <w:r>
              <w:rPr>
                <w:b/>
                <w:bCs/>
                <w:color w:val="000000" w:themeColor="text1"/>
              </w:rPr>
              <w:t>OR</w:t>
            </w:r>
            <w:r w:rsidRPr="00CF3785">
              <w:rPr>
                <w:b/>
                <w:bCs/>
                <w:color w:val="000000" w:themeColor="text1"/>
              </w:rPr>
              <w:t xml:space="preserve"> </w:t>
            </w:r>
          </w:p>
          <w:p w14:paraId="1818CBDB" w14:textId="7FB693CA" w:rsidR="007023F7" w:rsidRDefault="00DE48E0" w:rsidP="00893323">
            <w:pPr>
              <w:jc w:val="center"/>
              <w:rPr>
                <w:b/>
                <w:bCs/>
                <w:color w:val="000000" w:themeColor="text1"/>
              </w:rPr>
            </w:pPr>
            <w:r w:rsidRPr="00CF3785">
              <w:rPr>
                <w:b/>
                <w:bCs/>
                <w:color w:val="000000" w:themeColor="text1"/>
              </w:rPr>
              <w:t xml:space="preserve">(95% Confidence Interval), </w:t>
            </w:r>
          </w:p>
          <w:p w14:paraId="37D7C564" w14:textId="313F0977" w:rsidR="00DE48E0" w:rsidRPr="00CF3785" w:rsidRDefault="00DE48E0" w:rsidP="00893323">
            <w:pPr>
              <w:jc w:val="center"/>
              <w:rPr>
                <w:b/>
                <w:bCs/>
                <w:color w:val="000000" w:themeColor="text1"/>
              </w:rPr>
            </w:pPr>
            <w:r w:rsidRPr="00CF3785">
              <w:rPr>
                <w:b/>
                <w:bCs/>
                <w:color w:val="000000" w:themeColor="text1"/>
              </w:rPr>
              <w:t>P Value, Z</w:t>
            </w:r>
            <w:r>
              <w:rPr>
                <w:b/>
                <w:bCs/>
                <w:color w:val="000000" w:themeColor="text1"/>
              </w:rPr>
              <w:t>-Score</w:t>
            </w:r>
          </w:p>
        </w:tc>
      </w:tr>
      <w:tr w:rsidR="00DE48E0" w:rsidRPr="00CF3785" w14:paraId="5E4380FC" w14:textId="77777777" w:rsidTr="00BD0483">
        <w:trPr>
          <w:trHeight w:val="320"/>
        </w:trPr>
        <w:tc>
          <w:tcPr>
            <w:tcW w:w="4333" w:type="dxa"/>
            <w:gridSpan w:val="2"/>
            <w:tcBorders>
              <w:right w:val="nil"/>
            </w:tcBorders>
            <w:noWrap/>
            <w:vAlign w:val="bottom"/>
            <w:hideMark/>
          </w:tcPr>
          <w:p w14:paraId="33592A9E" w14:textId="11035B83" w:rsidR="00DE48E0" w:rsidRPr="009062A8" w:rsidRDefault="00DE48E0" w:rsidP="00893323">
            <w:pPr>
              <w:rPr>
                <w:rFonts w:asciiTheme="minorHAnsi" w:hAnsiTheme="minorHAnsi" w:cstheme="minorHAnsi"/>
                <w:b/>
                <w:bCs/>
                <w:color w:val="000000" w:themeColor="text1"/>
                <w:highlight w:val="yellow"/>
              </w:rPr>
            </w:pPr>
            <w:r w:rsidRPr="00BD0483">
              <w:rPr>
                <w:rFonts w:asciiTheme="minorHAnsi" w:hAnsiTheme="minorHAnsi" w:cstheme="minorHAnsi"/>
                <w:b/>
                <w:bCs/>
                <w:color w:val="000000" w:themeColor="text1"/>
              </w:rPr>
              <w:t xml:space="preserve">CNS Infections </w:t>
            </w:r>
          </w:p>
        </w:tc>
        <w:tc>
          <w:tcPr>
            <w:tcW w:w="1304" w:type="dxa"/>
            <w:gridSpan w:val="2"/>
            <w:tcBorders>
              <w:left w:val="nil"/>
              <w:right w:val="nil"/>
            </w:tcBorders>
            <w:noWrap/>
            <w:vAlign w:val="bottom"/>
            <w:hideMark/>
          </w:tcPr>
          <w:p w14:paraId="7EC4B6A7" w14:textId="77777777" w:rsidR="00DE48E0" w:rsidRPr="00CF3785" w:rsidRDefault="00DE48E0" w:rsidP="00893323">
            <w:pPr>
              <w:rPr>
                <w:b/>
                <w:bCs/>
                <w:color w:val="000000" w:themeColor="text1"/>
              </w:rPr>
            </w:pPr>
          </w:p>
        </w:tc>
        <w:tc>
          <w:tcPr>
            <w:tcW w:w="720" w:type="dxa"/>
            <w:tcBorders>
              <w:left w:val="nil"/>
              <w:right w:val="nil"/>
            </w:tcBorders>
            <w:noWrap/>
            <w:vAlign w:val="bottom"/>
            <w:hideMark/>
          </w:tcPr>
          <w:p w14:paraId="5BA01AE7" w14:textId="77777777" w:rsidR="00DE48E0" w:rsidRPr="00CF3785" w:rsidRDefault="00DE48E0" w:rsidP="00893323">
            <w:pPr>
              <w:rPr>
                <w:color w:val="000000" w:themeColor="text1"/>
                <w:sz w:val="20"/>
                <w:szCs w:val="20"/>
              </w:rPr>
            </w:pPr>
          </w:p>
        </w:tc>
        <w:tc>
          <w:tcPr>
            <w:tcW w:w="3268" w:type="dxa"/>
            <w:tcBorders>
              <w:left w:val="nil"/>
              <w:right w:val="nil"/>
            </w:tcBorders>
            <w:noWrap/>
            <w:vAlign w:val="bottom"/>
            <w:hideMark/>
          </w:tcPr>
          <w:p w14:paraId="283501E3" w14:textId="77777777" w:rsidR="00DE48E0" w:rsidRPr="00CF3785" w:rsidRDefault="00DE48E0" w:rsidP="00893323">
            <w:pPr>
              <w:rPr>
                <w:color w:val="000000" w:themeColor="text1"/>
                <w:sz w:val="20"/>
                <w:szCs w:val="20"/>
              </w:rPr>
            </w:pPr>
          </w:p>
        </w:tc>
        <w:tc>
          <w:tcPr>
            <w:tcW w:w="3364" w:type="dxa"/>
            <w:tcBorders>
              <w:left w:val="nil"/>
            </w:tcBorders>
            <w:noWrap/>
            <w:vAlign w:val="bottom"/>
            <w:hideMark/>
          </w:tcPr>
          <w:p w14:paraId="14961F82" w14:textId="77777777" w:rsidR="00DE48E0" w:rsidRPr="00CF3785" w:rsidRDefault="00DE48E0" w:rsidP="00893323">
            <w:pPr>
              <w:rPr>
                <w:color w:val="000000" w:themeColor="text1"/>
                <w:sz w:val="20"/>
                <w:szCs w:val="20"/>
              </w:rPr>
            </w:pPr>
          </w:p>
        </w:tc>
      </w:tr>
      <w:tr w:rsidR="00DE48E0" w:rsidRPr="00CF3785" w14:paraId="640CD97C" w14:textId="77777777" w:rsidTr="001A3690">
        <w:trPr>
          <w:trHeight w:val="320"/>
        </w:trPr>
        <w:tc>
          <w:tcPr>
            <w:tcW w:w="3330" w:type="dxa"/>
            <w:noWrap/>
            <w:vAlign w:val="bottom"/>
            <w:hideMark/>
          </w:tcPr>
          <w:p w14:paraId="5EB83DAE" w14:textId="593FAE63"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Acute disseminated encephalomyelitis</w:t>
            </w:r>
          </w:p>
        </w:tc>
        <w:tc>
          <w:tcPr>
            <w:tcW w:w="1027" w:type="dxa"/>
            <w:gridSpan w:val="2"/>
            <w:noWrap/>
            <w:vAlign w:val="bottom"/>
            <w:hideMark/>
          </w:tcPr>
          <w:p w14:paraId="5D2318E5"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310</w:t>
            </w:r>
          </w:p>
        </w:tc>
        <w:tc>
          <w:tcPr>
            <w:tcW w:w="1280" w:type="dxa"/>
            <w:noWrap/>
            <w:vAlign w:val="bottom"/>
            <w:hideMark/>
          </w:tcPr>
          <w:p w14:paraId="267EFD7B"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210</w:t>
            </w:r>
          </w:p>
        </w:tc>
        <w:tc>
          <w:tcPr>
            <w:tcW w:w="720" w:type="dxa"/>
            <w:noWrap/>
            <w:vAlign w:val="bottom"/>
            <w:hideMark/>
          </w:tcPr>
          <w:p w14:paraId="70CF2DEC"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541</w:t>
            </w:r>
          </w:p>
        </w:tc>
        <w:tc>
          <w:tcPr>
            <w:tcW w:w="3268" w:type="dxa"/>
            <w:noWrap/>
            <w:vAlign w:val="bottom"/>
            <w:hideMark/>
          </w:tcPr>
          <w:p w14:paraId="5721B98F"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 xml:space="preserve">13.2 (9.29-18.7), &lt;0.0001, 14.5 </w:t>
            </w:r>
          </w:p>
        </w:tc>
        <w:tc>
          <w:tcPr>
            <w:tcW w:w="3364" w:type="dxa"/>
            <w:noWrap/>
            <w:vAlign w:val="bottom"/>
            <w:hideMark/>
          </w:tcPr>
          <w:p w14:paraId="43D88255"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5.11 (3.66-7.12), &lt;0.0001, 9.62</w:t>
            </w:r>
          </w:p>
        </w:tc>
      </w:tr>
      <w:tr w:rsidR="00DE48E0" w:rsidRPr="00CF3785" w14:paraId="25901C81" w14:textId="77777777" w:rsidTr="001A3690">
        <w:trPr>
          <w:trHeight w:val="320"/>
        </w:trPr>
        <w:tc>
          <w:tcPr>
            <w:tcW w:w="3330" w:type="dxa"/>
            <w:noWrap/>
            <w:vAlign w:val="bottom"/>
            <w:hideMark/>
          </w:tcPr>
          <w:p w14:paraId="5C004562" w14:textId="2572C1F1"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Acute hemorrhagic leukoencephalitis</w:t>
            </w:r>
          </w:p>
        </w:tc>
        <w:tc>
          <w:tcPr>
            <w:tcW w:w="1027" w:type="dxa"/>
            <w:gridSpan w:val="2"/>
            <w:noWrap/>
            <w:vAlign w:val="bottom"/>
            <w:hideMark/>
          </w:tcPr>
          <w:p w14:paraId="1172AA8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3</w:t>
            </w:r>
          </w:p>
        </w:tc>
        <w:tc>
          <w:tcPr>
            <w:tcW w:w="1280" w:type="dxa"/>
            <w:noWrap/>
            <w:vAlign w:val="bottom"/>
            <w:hideMark/>
          </w:tcPr>
          <w:p w14:paraId="7705B6EA"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6</w:t>
            </w:r>
          </w:p>
        </w:tc>
        <w:tc>
          <w:tcPr>
            <w:tcW w:w="720" w:type="dxa"/>
            <w:noWrap/>
            <w:vAlign w:val="bottom"/>
            <w:hideMark/>
          </w:tcPr>
          <w:p w14:paraId="31472B17"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10</w:t>
            </w:r>
          </w:p>
        </w:tc>
        <w:tc>
          <w:tcPr>
            <w:tcW w:w="3268" w:type="dxa"/>
            <w:noWrap/>
            <w:vAlign w:val="bottom"/>
            <w:hideMark/>
          </w:tcPr>
          <w:p w14:paraId="124CE368"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4.46 (1.08-18.4), =0.0389, 2.07</w:t>
            </w:r>
          </w:p>
        </w:tc>
        <w:tc>
          <w:tcPr>
            <w:tcW w:w="3364" w:type="dxa"/>
            <w:noWrap/>
            <w:vAlign w:val="bottom"/>
            <w:hideMark/>
          </w:tcPr>
          <w:p w14:paraId="2ABCBC4A"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2.67 (0.711-10.1), =0.1456, 1.46</w:t>
            </w:r>
          </w:p>
        </w:tc>
      </w:tr>
      <w:tr w:rsidR="00DE48E0" w:rsidRPr="00CF3785" w14:paraId="42C5F3CA" w14:textId="77777777" w:rsidTr="001A3690">
        <w:trPr>
          <w:trHeight w:val="320"/>
        </w:trPr>
        <w:tc>
          <w:tcPr>
            <w:tcW w:w="3330" w:type="dxa"/>
            <w:noWrap/>
            <w:vAlign w:val="bottom"/>
            <w:hideMark/>
          </w:tcPr>
          <w:p w14:paraId="24A24E7E" w14:textId="4C6C81B7"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Autoimmune encephalopathy</w:t>
            </w:r>
          </w:p>
        </w:tc>
        <w:tc>
          <w:tcPr>
            <w:tcW w:w="1027" w:type="dxa"/>
            <w:gridSpan w:val="2"/>
            <w:noWrap/>
            <w:vAlign w:val="bottom"/>
            <w:hideMark/>
          </w:tcPr>
          <w:p w14:paraId="01A9F226"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27</w:t>
            </w:r>
          </w:p>
        </w:tc>
        <w:tc>
          <w:tcPr>
            <w:tcW w:w="1280" w:type="dxa"/>
            <w:noWrap/>
            <w:vAlign w:val="bottom"/>
            <w:hideMark/>
          </w:tcPr>
          <w:p w14:paraId="6FBB3C05"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w:t>
            </w:r>
          </w:p>
        </w:tc>
        <w:tc>
          <w:tcPr>
            <w:tcW w:w="720" w:type="dxa"/>
            <w:noWrap/>
            <w:vAlign w:val="bottom"/>
            <w:hideMark/>
          </w:tcPr>
          <w:p w14:paraId="7CFA9010"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55</w:t>
            </w:r>
          </w:p>
        </w:tc>
        <w:tc>
          <w:tcPr>
            <w:tcW w:w="3268" w:type="dxa"/>
            <w:noWrap/>
            <w:vAlign w:val="bottom"/>
            <w:hideMark/>
          </w:tcPr>
          <w:p w14:paraId="3375B1F8"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241 (32.0-1810), &lt;0.0001, 5.32</w:t>
            </w:r>
          </w:p>
        </w:tc>
        <w:tc>
          <w:tcPr>
            <w:tcW w:w="3364" w:type="dxa"/>
            <w:noWrap/>
            <w:vAlign w:val="bottom"/>
            <w:hideMark/>
          </w:tcPr>
          <w:p w14:paraId="4539502F" w14:textId="77777777" w:rsidR="00DE48E0" w:rsidRPr="00BA2AD4" w:rsidRDefault="00DE48E0" w:rsidP="00DE48E0">
            <w:pPr>
              <w:pStyle w:val="ListParagraph"/>
              <w:numPr>
                <w:ilvl w:val="1"/>
                <w:numId w:val="19"/>
              </w:numPr>
              <w:jc w:val="center"/>
              <w:rPr>
                <w:rFonts w:cstheme="minorHAnsi"/>
                <w:color w:val="000000" w:themeColor="text1"/>
              </w:rPr>
            </w:pPr>
            <w:r w:rsidRPr="00BA2AD4">
              <w:rPr>
                <w:rFonts w:cstheme="minorHAnsi"/>
                <w:color w:val="000000"/>
              </w:rPr>
              <w:t>2.52-7.59), &lt;0.0001, 5.26</w:t>
            </w:r>
          </w:p>
        </w:tc>
      </w:tr>
      <w:tr w:rsidR="00DE48E0" w:rsidRPr="00CF3785" w14:paraId="73D658C0" w14:textId="77777777" w:rsidTr="001A3690">
        <w:trPr>
          <w:trHeight w:val="320"/>
        </w:trPr>
        <w:tc>
          <w:tcPr>
            <w:tcW w:w="3330" w:type="dxa"/>
            <w:noWrap/>
            <w:vAlign w:val="bottom"/>
            <w:hideMark/>
          </w:tcPr>
          <w:p w14:paraId="3F26689F" w14:textId="77777777" w:rsidR="00DE48E0" w:rsidRPr="00E97396" w:rsidRDefault="00DE48E0" w:rsidP="001A3690">
            <w:pPr>
              <w:rPr>
                <w:rFonts w:cstheme="minorHAnsi"/>
                <w:color w:val="000000" w:themeColor="text1"/>
              </w:rPr>
            </w:pPr>
            <w:r w:rsidRPr="001A3690">
              <w:rPr>
                <w:rFonts w:asciiTheme="minorHAnsi" w:hAnsiTheme="minorHAnsi" w:cstheme="minorHAnsi"/>
                <w:color w:val="000000"/>
              </w:rPr>
              <w:t>Bickerstaff's encephalitis</w:t>
            </w:r>
          </w:p>
        </w:tc>
        <w:tc>
          <w:tcPr>
            <w:tcW w:w="1027" w:type="dxa"/>
            <w:gridSpan w:val="2"/>
            <w:noWrap/>
            <w:vAlign w:val="bottom"/>
            <w:hideMark/>
          </w:tcPr>
          <w:p w14:paraId="3F88663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23</w:t>
            </w:r>
          </w:p>
        </w:tc>
        <w:tc>
          <w:tcPr>
            <w:tcW w:w="1280" w:type="dxa"/>
            <w:noWrap/>
            <w:vAlign w:val="bottom"/>
            <w:hideMark/>
          </w:tcPr>
          <w:p w14:paraId="6EC72120"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3</w:t>
            </w:r>
          </w:p>
        </w:tc>
        <w:tc>
          <w:tcPr>
            <w:tcW w:w="720" w:type="dxa"/>
            <w:noWrap/>
            <w:vAlign w:val="bottom"/>
            <w:hideMark/>
          </w:tcPr>
          <w:p w14:paraId="684EC933"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5</w:t>
            </w:r>
          </w:p>
        </w:tc>
        <w:tc>
          <w:tcPr>
            <w:tcW w:w="3268" w:type="dxa"/>
            <w:noWrap/>
            <w:vAlign w:val="bottom"/>
            <w:hideMark/>
          </w:tcPr>
          <w:p w14:paraId="31899E0B"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68.3 (19.8-236), &lt;0.0001, 6.68</w:t>
            </w:r>
          </w:p>
        </w:tc>
        <w:tc>
          <w:tcPr>
            <w:tcW w:w="3364" w:type="dxa"/>
            <w:noWrap/>
            <w:vAlign w:val="bottom"/>
            <w:hideMark/>
          </w:tcPr>
          <w:p w14:paraId="0780D0C9"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41.0 (14.9-113), &lt;0.0001, 7.19</w:t>
            </w:r>
          </w:p>
        </w:tc>
      </w:tr>
      <w:tr w:rsidR="00DE48E0" w:rsidRPr="00CF3785" w14:paraId="35B7B9E9" w14:textId="77777777" w:rsidTr="001A3690">
        <w:trPr>
          <w:trHeight w:val="320"/>
        </w:trPr>
        <w:tc>
          <w:tcPr>
            <w:tcW w:w="3330" w:type="dxa"/>
            <w:noWrap/>
            <w:vAlign w:val="bottom"/>
            <w:hideMark/>
          </w:tcPr>
          <w:p w14:paraId="0117C4A0" w14:textId="34FF4CE3" w:rsidR="00DE48E0" w:rsidRPr="00DE48E0" w:rsidRDefault="00DE48E0" w:rsidP="00893323">
            <w:pPr>
              <w:rPr>
                <w:rFonts w:asciiTheme="minorHAnsi" w:eastAsiaTheme="minorHAnsi" w:hAnsiTheme="minorHAnsi" w:cstheme="minorHAnsi"/>
                <w:color w:val="000000"/>
                <w:kern w:val="2"/>
                <w14:ligatures w14:val="standardContextual"/>
              </w:rPr>
            </w:pPr>
            <w:r w:rsidRPr="00DE48E0">
              <w:rPr>
                <w:rFonts w:asciiTheme="minorHAnsi" w:eastAsiaTheme="minorHAnsi" w:hAnsiTheme="minorHAnsi" w:cstheme="minorHAnsi"/>
                <w:color w:val="000000"/>
                <w:kern w:val="2"/>
                <w14:ligatures w14:val="standardContextual"/>
              </w:rPr>
              <w:t>Central nervous system infection</w:t>
            </w:r>
          </w:p>
        </w:tc>
        <w:tc>
          <w:tcPr>
            <w:tcW w:w="1027" w:type="dxa"/>
            <w:gridSpan w:val="2"/>
            <w:noWrap/>
            <w:vAlign w:val="bottom"/>
            <w:hideMark/>
          </w:tcPr>
          <w:p w14:paraId="07DEDFC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16</w:t>
            </w:r>
          </w:p>
        </w:tc>
        <w:tc>
          <w:tcPr>
            <w:tcW w:w="1280" w:type="dxa"/>
            <w:noWrap/>
            <w:vAlign w:val="bottom"/>
            <w:hideMark/>
          </w:tcPr>
          <w:p w14:paraId="0C3CA5BA"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w:t>
            </w:r>
          </w:p>
        </w:tc>
        <w:tc>
          <w:tcPr>
            <w:tcW w:w="720" w:type="dxa"/>
            <w:noWrap/>
            <w:vAlign w:val="bottom"/>
            <w:hideMark/>
          </w:tcPr>
          <w:p w14:paraId="0DAE7EEB"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27</w:t>
            </w:r>
          </w:p>
        </w:tc>
        <w:tc>
          <w:tcPr>
            <w:tcW w:w="3268" w:type="dxa"/>
            <w:noWrap/>
            <w:vAlign w:val="bottom"/>
            <w:hideMark/>
          </w:tcPr>
          <w:p w14:paraId="7A47AAE3"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71.3 (15.9-320), &lt;0.0001, 5.57</w:t>
            </w:r>
          </w:p>
        </w:tc>
        <w:tc>
          <w:tcPr>
            <w:tcW w:w="3364" w:type="dxa"/>
            <w:noWrap/>
            <w:vAlign w:val="bottom"/>
            <w:hideMark/>
          </w:tcPr>
          <w:p w14:paraId="2A73C0C9"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5.28 (2.66-10.5), &lt;0.0001, 4.74</w:t>
            </w:r>
          </w:p>
        </w:tc>
      </w:tr>
      <w:tr w:rsidR="00DE48E0" w:rsidRPr="00CF3785" w14:paraId="38E9B074" w14:textId="77777777" w:rsidTr="001A3690">
        <w:trPr>
          <w:trHeight w:val="320"/>
        </w:trPr>
        <w:tc>
          <w:tcPr>
            <w:tcW w:w="3330" w:type="dxa"/>
            <w:noWrap/>
            <w:vAlign w:val="bottom"/>
            <w:hideMark/>
          </w:tcPr>
          <w:p w14:paraId="6463DFC8" w14:textId="33A98997" w:rsidR="00DE48E0" w:rsidRPr="00DE48E0" w:rsidRDefault="00DE48E0" w:rsidP="00893323">
            <w:pPr>
              <w:rPr>
                <w:rFonts w:asciiTheme="minorHAnsi" w:eastAsiaTheme="minorHAnsi" w:hAnsiTheme="minorHAnsi" w:cstheme="minorHAnsi"/>
                <w:color w:val="000000"/>
                <w:kern w:val="2"/>
                <w14:ligatures w14:val="standardContextual"/>
              </w:rPr>
            </w:pPr>
            <w:r w:rsidRPr="00DE48E0">
              <w:rPr>
                <w:rFonts w:asciiTheme="minorHAnsi" w:eastAsiaTheme="minorHAnsi" w:hAnsiTheme="minorHAnsi" w:cstheme="minorHAnsi"/>
                <w:color w:val="000000"/>
                <w:kern w:val="2"/>
                <w14:ligatures w14:val="standardContextual"/>
              </w:rPr>
              <w:t>Central nervous system viral infection</w:t>
            </w:r>
          </w:p>
        </w:tc>
        <w:tc>
          <w:tcPr>
            <w:tcW w:w="1027" w:type="dxa"/>
            <w:gridSpan w:val="2"/>
            <w:noWrap/>
            <w:vAlign w:val="bottom"/>
            <w:hideMark/>
          </w:tcPr>
          <w:p w14:paraId="668CE813"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4</w:t>
            </w:r>
          </w:p>
        </w:tc>
        <w:tc>
          <w:tcPr>
            <w:tcW w:w="1280" w:type="dxa"/>
            <w:noWrap/>
            <w:vAlign w:val="bottom"/>
            <w:hideMark/>
          </w:tcPr>
          <w:p w14:paraId="46B01ABC"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w:t>
            </w:r>
          </w:p>
        </w:tc>
        <w:tc>
          <w:tcPr>
            <w:tcW w:w="720" w:type="dxa"/>
            <w:noWrap/>
            <w:vAlign w:val="bottom"/>
            <w:hideMark/>
          </w:tcPr>
          <w:p w14:paraId="6CFE8579"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7</w:t>
            </w:r>
          </w:p>
        </w:tc>
        <w:tc>
          <w:tcPr>
            <w:tcW w:w="3268" w:type="dxa"/>
            <w:noWrap/>
            <w:vAlign w:val="bottom"/>
            <w:hideMark/>
          </w:tcPr>
          <w:p w14:paraId="7B53515D"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17.8 (3.18-100),  =0.0011, 3.28</w:t>
            </w:r>
          </w:p>
        </w:tc>
        <w:tc>
          <w:tcPr>
            <w:tcW w:w="3364" w:type="dxa"/>
            <w:noWrap/>
            <w:vAlign w:val="bottom"/>
            <w:hideMark/>
          </w:tcPr>
          <w:p w14:paraId="466557E4"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5.09 (1.44-18.0), =0.0116, 2.52</w:t>
            </w:r>
          </w:p>
        </w:tc>
      </w:tr>
      <w:tr w:rsidR="00DE48E0" w:rsidRPr="00CF3785" w14:paraId="7BCAEBAB" w14:textId="77777777" w:rsidTr="001A3690">
        <w:trPr>
          <w:trHeight w:val="320"/>
        </w:trPr>
        <w:tc>
          <w:tcPr>
            <w:tcW w:w="3330" w:type="dxa"/>
            <w:noWrap/>
            <w:vAlign w:val="bottom"/>
            <w:hideMark/>
          </w:tcPr>
          <w:p w14:paraId="782317D2" w14:textId="0888F796"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Cerebral fungal infection</w:t>
            </w:r>
          </w:p>
        </w:tc>
        <w:tc>
          <w:tcPr>
            <w:tcW w:w="1027" w:type="dxa"/>
            <w:gridSpan w:val="2"/>
            <w:noWrap/>
            <w:vAlign w:val="bottom"/>
            <w:hideMark/>
          </w:tcPr>
          <w:p w14:paraId="7555D0A4"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w:t>
            </w:r>
          </w:p>
        </w:tc>
        <w:tc>
          <w:tcPr>
            <w:tcW w:w="1280" w:type="dxa"/>
            <w:noWrap/>
            <w:vAlign w:val="bottom"/>
            <w:hideMark/>
          </w:tcPr>
          <w:p w14:paraId="78321F6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720" w:type="dxa"/>
            <w:noWrap/>
            <w:vAlign w:val="bottom"/>
            <w:hideMark/>
          </w:tcPr>
          <w:p w14:paraId="35ECC8E8"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3268" w:type="dxa"/>
            <w:noWrap/>
            <w:vAlign w:val="bottom"/>
            <w:hideMark/>
          </w:tcPr>
          <w:p w14:paraId="57E42F31"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5.09 (1.44-18.0), =0.0116, 2.52</w:t>
            </w:r>
          </w:p>
        </w:tc>
        <w:tc>
          <w:tcPr>
            <w:tcW w:w="3364" w:type="dxa"/>
            <w:noWrap/>
            <w:vAlign w:val="bottom"/>
            <w:hideMark/>
          </w:tcPr>
          <w:p w14:paraId="67F34C81"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5.09 (1.44-18.0), =0.0116, 2.52</w:t>
            </w:r>
          </w:p>
        </w:tc>
      </w:tr>
      <w:tr w:rsidR="00DE48E0" w:rsidRPr="00CF3785" w14:paraId="47119056" w14:textId="77777777" w:rsidTr="001A3690">
        <w:trPr>
          <w:trHeight w:val="320"/>
        </w:trPr>
        <w:tc>
          <w:tcPr>
            <w:tcW w:w="3330" w:type="dxa"/>
            <w:noWrap/>
            <w:vAlign w:val="bottom"/>
            <w:hideMark/>
          </w:tcPr>
          <w:p w14:paraId="32BFF429" w14:textId="54DF9810"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Cerebral septic infarct</w:t>
            </w:r>
          </w:p>
        </w:tc>
        <w:tc>
          <w:tcPr>
            <w:tcW w:w="1027" w:type="dxa"/>
            <w:gridSpan w:val="2"/>
            <w:noWrap/>
            <w:vAlign w:val="bottom"/>
            <w:hideMark/>
          </w:tcPr>
          <w:p w14:paraId="09069819"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w:t>
            </w:r>
          </w:p>
        </w:tc>
        <w:tc>
          <w:tcPr>
            <w:tcW w:w="1280" w:type="dxa"/>
            <w:noWrap/>
            <w:vAlign w:val="bottom"/>
            <w:hideMark/>
          </w:tcPr>
          <w:p w14:paraId="5D05AA55"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720" w:type="dxa"/>
            <w:noWrap/>
            <w:vAlign w:val="bottom"/>
            <w:hideMark/>
          </w:tcPr>
          <w:p w14:paraId="3D646202"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3268" w:type="dxa"/>
            <w:noWrap/>
            <w:vAlign w:val="bottom"/>
            <w:hideMark/>
          </w:tcPr>
          <w:p w14:paraId="4F10CC7B"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5.09 (1.44-18.0), =0.0116, 2.52</w:t>
            </w:r>
          </w:p>
        </w:tc>
        <w:tc>
          <w:tcPr>
            <w:tcW w:w="3364" w:type="dxa"/>
            <w:noWrap/>
            <w:vAlign w:val="bottom"/>
            <w:hideMark/>
          </w:tcPr>
          <w:p w14:paraId="528157C9"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5.09 (1.44-18.0), =0.0116, 2.52</w:t>
            </w:r>
          </w:p>
        </w:tc>
      </w:tr>
      <w:tr w:rsidR="00DE48E0" w:rsidRPr="00CF3785" w14:paraId="006DC346" w14:textId="77777777" w:rsidTr="001A3690">
        <w:trPr>
          <w:trHeight w:val="320"/>
        </w:trPr>
        <w:tc>
          <w:tcPr>
            <w:tcW w:w="3330" w:type="dxa"/>
            <w:noWrap/>
            <w:vAlign w:val="bottom"/>
            <w:hideMark/>
          </w:tcPr>
          <w:p w14:paraId="07DB16AD" w14:textId="49267983"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Cerebral toxoplasmosis</w:t>
            </w:r>
          </w:p>
        </w:tc>
        <w:tc>
          <w:tcPr>
            <w:tcW w:w="1027" w:type="dxa"/>
            <w:gridSpan w:val="2"/>
            <w:noWrap/>
            <w:vAlign w:val="bottom"/>
            <w:hideMark/>
          </w:tcPr>
          <w:p w14:paraId="7B019FB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w:t>
            </w:r>
          </w:p>
        </w:tc>
        <w:tc>
          <w:tcPr>
            <w:tcW w:w="1280" w:type="dxa"/>
            <w:noWrap/>
            <w:vAlign w:val="bottom"/>
            <w:hideMark/>
          </w:tcPr>
          <w:p w14:paraId="085A455F"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720" w:type="dxa"/>
            <w:noWrap/>
            <w:vAlign w:val="bottom"/>
            <w:hideMark/>
          </w:tcPr>
          <w:p w14:paraId="0A23FF0B"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w:t>
            </w:r>
          </w:p>
        </w:tc>
        <w:tc>
          <w:tcPr>
            <w:tcW w:w="3268" w:type="dxa"/>
            <w:noWrap/>
            <w:vAlign w:val="bottom"/>
            <w:hideMark/>
          </w:tcPr>
          <w:p w14:paraId="21FBFEF2"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5.09 (1.44-18.0), =0.0116, 2.52</w:t>
            </w:r>
          </w:p>
        </w:tc>
        <w:tc>
          <w:tcPr>
            <w:tcW w:w="3364" w:type="dxa"/>
            <w:noWrap/>
            <w:vAlign w:val="bottom"/>
            <w:hideMark/>
          </w:tcPr>
          <w:p w14:paraId="5B705B5C"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8.91 (0.549-145), =0.1241, 1.54</w:t>
            </w:r>
          </w:p>
        </w:tc>
      </w:tr>
      <w:tr w:rsidR="00DE48E0" w:rsidRPr="00CF3785" w14:paraId="63701AB0" w14:textId="77777777" w:rsidTr="001A3690">
        <w:trPr>
          <w:trHeight w:val="320"/>
        </w:trPr>
        <w:tc>
          <w:tcPr>
            <w:tcW w:w="3330" w:type="dxa"/>
            <w:noWrap/>
            <w:vAlign w:val="bottom"/>
            <w:hideMark/>
          </w:tcPr>
          <w:p w14:paraId="0DE908A8" w14:textId="0449B56E"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 xml:space="preserve">CNS </w:t>
            </w:r>
            <w:r w:rsidR="00970E34">
              <w:rPr>
                <w:rFonts w:asciiTheme="minorHAnsi" w:hAnsiTheme="minorHAnsi" w:cstheme="minorHAnsi"/>
                <w:color w:val="000000"/>
              </w:rPr>
              <w:t>v</w:t>
            </w:r>
            <w:r w:rsidRPr="003A0B8D">
              <w:rPr>
                <w:rFonts w:asciiTheme="minorHAnsi" w:hAnsiTheme="minorHAnsi" w:cstheme="minorHAnsi"/>
                <w:color w:val="000000"/>
              </w:rPr>
              <w:t>entriculitis</w:t>
            </w:r>
          </w:p>
        </w:tc>
        <w:tc>
          <w:tcPr>
            <w:tcW w:w="1027" w:type="dxa"/>
            <w:gridSpan w:val="2"/>
            <w:noWrap/>
            <w:vAlign w:val="bottom"/>
            <w:hideMark/>
          </w:tcPr>
          <w:p w14:paraId="3FFDDFA9"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5</w:t>
            </w:r>
          </w:p>
        </w:tc>
        <w:tc>
          <w:tcPr>
            <w:tcW w:w="1280" w:type="dxa"/>
            <w:noWrap/>
            <w:vAlign w:val="bottom"/>
            <w:hideMark/>
          </w:tcPr>
          <w:p w14:paraId="097A3871"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720" w:type="dxa"/>
            <w:noWrap/>
            <w:vAlign w:val="bottom"/>
            <w:hideMark/>
          </w:tcPr>
          <w:p w14:paraId="30D40159"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4</w:t>
            </w:r>
          </w:p>
        </w:tc>
        <w:tc>
          <w:tcPr>
            <w:tcW w:w="3268" w:type="dxa"/>
            <w:noWrap/>
            <w:vAlign w:val="bottom"/>
            <w:hideMark/>
          </w:tcPr>
          <w:p w14:paraId="504472F2"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97.1 (5.29-1780), =0.0021, 3.08</w:t>
            </w:r>
          </w:p>
        </w:tc>
        <w:tc>
          <w:tcPr>
            <w:tcW w:w="3364" w:type="dxa"/>
            <w:noWrap/>
            <w:vAlign w:val="bottom"/>
            <w:hideMark/>
          </w:tcPr>
          <w:p w14:paraId="6CFA8FEB"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11.1 (2.89-42.9, =0.0005, 3.50</w:t>
            </w:r>
          </w:p>
        </w:tc>
      </w:tr>
      <w:tr w:rsidR="00DE48E0" w:rsidRPr="00CF3785" w14:paraId="45E094EC" w14:textId="77777777" w:rsidTr="001A3690">
        <w:trPr>
          <w:trHeight w:val="320"/>
        </w:trPr>
        <w:tc>
          <w:tcPr>
            <w:tcW w:w="3330" w:type="dxa"/>
            <w:noWrap/>
            <w:vAlign w:val="bottom"/>
            <w:hideMark/>
          </w:tcPr>
          <w:p w14:paraId="5EBCB691" w14:textId="0131CEB0"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Cranial nerve infection</w:t>
            </w:r>
          </w:p>
        </w:tc>
        <w:tc>
          <w:tcPr>
            <w:tcW w:w="1027" w:type="dxa"/>
            <w:gridSpan w:val="2"/>
            <w:noWrap/>
            <w:vAlign w:val="bottom"/>
            <w:hideMark/>
          </w:tcPr>
          <w:p w14:paraId="08B4B058"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5</w:t>
            </w:r>
          </w:p>
        </w:tc>
        <w:tc>
          <w:tcPr>
            <w:tcW w:w="1280" w:type="dxa"/>
            <w:noWrap/>
            <w:vAlign w:val="bottom"/>
            <w:hideMark/>
          </w:tcPr>
          <w:p w14:paraId="16DDE761"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720" w:type="dxa"/>
            <w:noWrap/>
            <w:vAlign w:val="bottom"/>
            <w:hideMark/>
          </w:tcPr>
          <w:p w14:paraId="5A022BAF"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w:t>
            </w:r>
          </w:p>
        </w:tc>
        <w:tc>
          <w:tcPr>
            <w:tcW w:w="3268" w:type="dxa"/>
            <w:noWrap/>
            <w:vAlign w:val="bottom"/>
            <w:hideMark/>
          </w:tcPr>
          <w:p w14:paraId="2052C24D"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97.1 (5.29-1780), =0.0021, 3.08</w:t>
            </w:r>
          </w:p>
        </w:tc>
        <w:tc>
          <w:tcPr>
            <w:tcW w:w="3364" w:type="dxa"/>
            <w:noWrap/>
            <w:vAlign w:val="bottom"/>
            <w:hideMark/>
          </w:tcPr>
          <w:p w14:paraId="21F4C2C4"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22.3 (4.21-118), =0.0003, 3.65</w:t>
            </w:r>
          </w:p>
        </w:tc>
      </w:tr>
      <w:tr w:rsidR="00DE48E0" w:rsidRPr="00CF3785" w14:paraId="5681B738" w14:textId="77777777" w:rsidTr="001A3690">
        <w:trPr>
          <w:trHeight w:val="320"/>
        </w:trPr>
        <w:tc>
          <w:tcPr>
            <w:tcW w:w="3330" w:type="dxa"/>
            <w:noWrap/>
            <w:vAlign w:val="bottom"/>
            <w:hideMark/>
          </w:tcPr>
          <w:p w14:paraId="53BDF2A8" w14:textId="1ECA1848"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CSF white blood cell count</w:t>
            </w:r>
          </w:p>
        </w:tc>
        <w:tc>
          <w:tcPr>
            <w:tcW w:w="1027" w:type="dxa"/>
            <w:gridSpan w:val="2"/>
            <w:noWrap/>
            <w:vAlign w:val="bottom"/>
            <w:hideMark/>
          </w:tcPr>
          <w:p w14:paraId="3912F777"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245</w:t>
            </w:r>
          </w:p>
        </w:tc>
        <w:tc>
          <w:tcPr>
            <w:tcW w:w="1280" w:type="dxa"/>
            <w:noWrap/>
            <w:vAlign w:val="bottom"/>
            <w:hideMark/>
          </w:tcPr>
          <w:p w14:paraId="27AC614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8</w:t>
            </w:r>
          </w:p>
        </w:tc>
        <w:tc>
          <w:tcPr>
            <w:tcW w:w="720" w:type="dxa"/>
            <w:noWrap/>
            <w:vAlign w:val="bottom"/>
            <w:hideMark/>
          </w:tcPr>
          <w:p w14:paraId="1B1DB558"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58</w:t>
            </w:r>
          </w:p>
        </w:tc>
        <w:tc>
          <w:tcPr>
            <w:tcW w:w="3268" w:type="dxa"/>
            <w:noWrap/>
            <w:vAlign w:val="bottom"/>
            <w:hideMark/>
          </w:tcPr>
          <w:p w14:paraId="5DC2B9CC"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273 (127-587), &lt;0.0001, 14.4</w:t>
            </w:r>
          </w:p>
        </w:tc>
        <w:tc>
          <w:tcPr>
            <w:tcW w:w="3364" w:type="dxa"/>
            <w:noWrap/>
            <w:vAlign w:val="bottom"/>
            <w:hideMark/>
          </w:tcPr>
          <w:p w14:paraId="125EB63B"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37.7 (24.8-57.1), &lt;0.0001, 17.1</w:t>
            </w:r>
          </w:p>
        </w:tc>
      </w:tr>
      <w:tr w:rsidR="00DE48E0" w:rsidRPr="00CF3785" w14:paraId="3BE4F3D5" w14:textId="77777777" w:rsidTr="001A3690">
        <w:trPr>
          <w:trHeight w:val="320"/>
        </w:trPr>
        <w:tc>
          <w:tcPr>
            <w:tcW w:w="3330" w:type="dxa"/>
            <w:noWrap/>
            <w:vAlign w:val="bottom"/>
            <w:hideMark/>
          </w:tcPr>
          <w:p w14:paraId="495ECB9D" w14:textId="606EB538"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Encephalitis</w:t>
            </w:r>
          </w:p>
        </w:tc>
        <w:tc>
          <w:tcPr>
            <w:tcW w:w="1027" w:type="dxa"/>
            <w:gridSpan w:val="2"/>
            <w:noWrap/>
            <w:vAlign w:val="bottom"/>
            <w:hideMark/>
          </w:tcPr>
          <w:p w14:paraId="54B631E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784</w:t>
            </w:r>
          </w:p>
        </w:tc>
        <w:tc>
          <w:tcPr>
            <w:tcW w:w="1280" w:type="dxa"/>
            <w:noWrap/>
            <w:vAlign w:val="bottom"/>
            <w:hideMark/>
          </w:tcPr>
          <w:p w14:paraId="6CA666E0"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334</w:t>
            </w:r>
          </w:p>
        </w:tc>
        <w:tc>
          <w:tcPr>
            <w:tcW w:w="720" w:type="dxa"/>
            <w:noWrap/>
            <w:vAlign w:val="bottom"/>
            <w:hideMark/>
          </w:tcPr>
          <w:p w14:paraId="46C5A366"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1848</w:t>
            </w:r>
          </w:p>
        </w:tc>
        <w:tc>
          <w:tcPr>
            <w:tcW w:w="3268" w:type="dxa"/>
            <w:noWrap/>
            <w:vAlign w:val="bottom"/>
            <w:hideMark/>
          </w:tcPr>
          <w:p w14:paraId="271A5BD8"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20.9 (15.1-29.0), &lt;0001, 18.2</w:t>
            </w:r>
          </w:p>
        </w:tc>
        <w:tc>
          <w:tcPr>
            <w:tcW w:w="3364" w:type="dxa"/>
            <w:noWrap/>
            <w:vAlign w:val="bottom"/>
            <w:hideMark/>
          </w:tcPr>
          <w:p w14:paraId="39423480"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3.78 (2.77-5.17), &lt;0.0001, 8.33</w:t>
            </w:r>
          </w:p>
        </w:tc>
      </w:tr>
      <w:tr w:rsidR="00DE48E0" w:rsidRPr="00CF3785" w14:paraId="5545F5ED" w14:textId="77777777" w:rsidTr="001A3690">
        <w:trPr>
          <w:trHeight w:val="320"/>
        </w:trPr>
        <w:tc>
          <w:tcPr>
            <w:tcW w:w="3330" w:type="dxa"/>
            <w:noWrap/>
            <w:vAlign w:val="bottom"/>
            <w:hideMark/>
          </w:tcPr>
          <w:p w14:paraId="596B0A58" w14:textId="336FE1FF"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lastRenderedPageBreak/>
              <w:t xml:space="preserve">Encephalitis </w:t>
            </w:r>
            <w:r w:rsidR="00970E34">
              <w:rPr>
                <w:rFonts w:asciiTheme="minorHAnsi" w:hAnsiTheme="minorHAnsi" w:cstheme="minorHAnsi"/>
                <w:color w:val="000000"/>
              </w:rPr>
              <w:t>a</w:t>
            </w:r>
            <w:r w:rsidRPr="003A0B8D">
              <w:rPr>
                <w:rFonts w:asciiTheme="minorHAnsi" w:hAnsiTheme="minorHAnsi" w:cstheme="minorHAnsi"/>
                <w:color w:val="000000"/>
              </w:rPr>
              <w:t>utoimmune</w:t>
            </w:r>
          </w:p>
        </w:tc>
        <w:tc>
          <w:tcPr>
            <w:tcW w:w="1027" w:type="dxa"/>
            <w:gridSpan w:val="2"/>
            <w:noWrap/>
            <w:vAlign w:val="bottom"/>
            <w:hideMark/>
          </w:tcPr>
          <w:p w14:paraId="7A78B53F"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177</w:t>
            </w:r>
          </w:p>
        </w:tc>
        <w:tc>
          <w:tcPr>
            <w:tcW w:w="1280" w:type="dxa"/>
            <w:noWrap/>
            <w:vAlign w:val="bottom"/>
            <w:hideMark/>
          </w:tcPr>
          <w:p w14:paraId="03CE2594"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20</w:t>
            </w:r>
          </w:p>
        </w:tc>
        <w:tc>
          <w:tcPr>
            <w:tcW w:w="720" w:type="dxa"/>
            <w:noWrap/>
            <w:vAlign w:val="bottom"/>
            <w:hideMark/>
          </w:tcPr>
          <w:p w14:paraId="168463A1"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106</w:t>
            </w:r>
          </w:p>
        </w:tc>
        <w:tc>
          <w:tcPr>
            <w:tcW w:w="3268" w:type="dxa"/>
            <w:noWrap/>
            <w:vAlign w:val="bottom"/>
            <w:hideMark/>
          </w:tcPr>
          <w:p w14:paraId="6FEEC830"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78.9 (45.4-137), &lt;0.0001, 15.5</w:t>
            </w:r>
          </w:p>
        </w:tc>
        <w:tc>
          <w:tcPr>
            <w:tcW w:w="3364" w:type="dxa"/>
            <w:noWrap/>
            <w:vAlign w:val="bottom"/>
            <w:hideMark/>
          </w:tcPr>
          <w:p w14:paraId="3682DC30"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14.9 (10.1-21.9), &lt;0.0001, 13.7</w:t>
            </w:r>
          </w:p>
        </w:tc>
      </w:tr>
      <w:tr w:rsidR="00DE48E0" w:rsidRPr="00CF3785" w14:paraId="32030DFC" w14:textId="77777777" w:rsidTr="001A3690">
        <w:trPr>
          <w:trHeight w:val="320"/>
        </w:trPr>
        <w:tc>
          <w:tcPr>
            <w:tcW w:w="3330" w:type="dxa"/>
            <w:noWrap/>
            <w:vAlign w:val="bottom"/>
            <w:hideMark/>
          </w:tcPr>
          <w:p w14:paraId="77F872CA" w14:textId="271D583F"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Encephalitis brain stem</w:t>
            </w:r>
          </w:p>
        </w:tc>
        <w:tc>
          <w:tcPr>
            <w:tcW w:w="1027" w:type="dxa"/>
            <w:gridSpan w:val="2"/>
            <w:noWrap/>
            <w:vAlign w:val="bottom"/>
            <w:hideMark/>
          </w:tcPr>
          <w:p w14:paraId="1158AC97"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24</w:t>
            </w:r>
          </w:p>
        </w:tc>
        <w:tc>
          <w:tcPr>
            <w:tcW w:w="1280" w:type="dxa"/>
            <w:noWrap/>
            <w:vAlign w:val="bottom"/>
            <w:hideMark/>
          </w:tcPr>
          <w:p w14:paraId="11E1E46A"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10</w:t>
            </w:r>
          </w:p>
        </w:tc>
        <w:tc>
          <w:tcPr>
            <w:tcW w:w="720" w:type="dxa"/>
            <w:noWrap/>
            <w:vAlign w:val="bottom"/>
            <w:hideMark/>
          </w:tcPr>
          <w:p w14:paraId="22047BE5"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31</w:t>
            </w:r>
          </w:p>
        </w:tc>
        <w:tc>
          <w:tcPr>
            <w:tcW w:w="3268" w:type="dxa"/>
            <w:noWrap/>
            <w:vAlign w:val="bottom"/>
            <w:hideMark/>
          </w:tcPr>
          <w:p w14:paraId="2111BB50"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21.4 (9.64-47.5), &lt;0.0001, 7.53</w:t>
            </w:r>
          </w:p>
        </w:tc>
        <w:tc>
          <w:tcPr>
            <w:tcW w:w="3364" w:type="dxa"/>
            <w:noWrap/>
            <w:vAlign w:val="bottom"/>
            <w:hideMark/>
          </w:tcPr>
          <w:p w14:paraId="404BAB9A"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6.90 (3.74-12.7), &lt;0.0001, 6.18</w:t>
            </w:r>
          </w:p>
        </w:tc>
      </w:tr>
      <w:tr w:rsidR="00DE48E0" w:rsidRPr="00CF3785" w14:paraId="2B9D0FAA" w14:textId="77777777" w:rsidTr="001A3690">
        <w:trPr>
          <w:trHeight w:val="320"/>
        </w:trPr>
        <w:tc>
          <w:tcPr>
            <w:tcW w:w="3330" w:type="dxa"/>
            <w:noWrap/>
            <w:vAlign w:val="bottom"/>
            <w:hideMark/>
          </w:tcPr>
          <w:p w14:paraId="3A3C4A9F" w14:textId="1F2517B0"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Encephalitis meningococcal</w:t>
            </w:r>
          </w:p>
        </w:tc>
        <w:tc>
          <w:tcPr>
            <w:tcW w:w="1027" w:type="dxa"/>
            <w:gridSpan w:val="2"/>
            <w:noWrap/>
            <w:vAlign w:val="bottom"/>
            <w:hideMark/>
          </w:tcPr>
          <w:p w14:paraId="360799F1"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4</w:t>
            </w:r>
          </w:p>
        </w:tc>
        <w:tc>
          <w:tcPr>
            <w:tcW w:w="1280" w:type="dxa"/>
            <w:noWrap/>
            <w:vAlign w:val="bottom"/>
            <w:hideMark/>
          </w:tcPr>
          <w:p w14:paraId="5CA986C5"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720" w:type="dxa"/>
            <w:noWrap/>
            <w:vAlign w:val="bottom"/>
            <w:hideMark/>
          </w:tcPr>
          <w:p w14:paraId="6EA413B2"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4</w:t>
            </w:r>
          </w:p>
        </w:tc>
        <w:tc>
          <w:tcPr>
            <w:tcW w:w="3268" w:type="dxa"/>
            <w:noWrap/>
            <w:vAlign w:val="bottom"/>
            <w:hideMark/>
          </w:tcPr>
          <w:p w14:paraId="27949597"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79.5 (4.21-1500), =0.0035, 2.92</w:t>
            </w:r>
          </w:p>
        </w:tc>
        <w:tc>
          <w:tcPr>
            <w:tcW w:w="3364" w:type="dxa"/>
            <w:noWrap/>
            <w:vAlign w:val="bottom"/>
            <w:hideMark/>
          </w:tcPr>
          <w:p w14:paraId="0A3B9A59"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8.91 (2.16-36.8), =0.0025, 3.02</w:t>
            </w:r>
          </w:p>
        </w:tc>
      </w:tr>
      <w:tr w:rsidR="00DE48E0" w:rsidRPr="00CF3785" w14:paraId="213FB703" w14:textId="77777777" w:rsidTr="001A3690">
        <w:trPr>
          <w:trHeight w:val="320"/>
        </w:trPr>
        <w:tc>
          <w:tcPr>
            <w:tcW w:w="3330" w:type="dxa"/>
            <w:noWrap/>
            <w:vAlign w:val="bottom"/>
            <w:hideMark/>
          </w:tcPr>
          <w:p w14:paraId="436EC39A" w14:textId="4EDC3F55"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Encephalitis post immunisation</w:t>
            </w:r>
          </w:p>
        </w:tc>
        <w:tc>
          <w:tcPr>
            <w:tcW w:w="1027" w:type="dxa"/>
            <w:gridSpan w:val="2"/>
            <w:noWrap/>
            <w:vAlign w:val="bottom"/>
            <w:hideMark/>
          </w:tcPr>
          <w:p w14:paraId="0B52B26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15</w:t>
            </w:r>
          </w:p>
        </w:tc>
        <w:tc>
          <w:tcPr>
            <w:tcW w:w="1280" w:type="dxa"/>
            <w:noWrap/>
            <w:vAlign w:val="bottom"/>
            <w:hideMark/>
          </w:tcPr>
          <w:p w14:paraId="7E93E45F"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14</w:t>
            </w:r>
          </w:p>
        </w:tc>
        <w:tc>
          <w:tcPr>
            <w:tcW w:w="720" w:type="dxa"/>
            <w:noWrap/>
            <w:vAlign w:val="bottom"/>
            <w:hideMark/>
          </w:tcPr>
          <w:p w14:paraId="0AAD1C7B"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54</w:t>
            </w:r>
          </w:p>
        </w:tc>
        <w:tc>
          <w:tcPr>
            <w:tcW w:w="3268" w:type="dxa"/>
            <w:noWrap/>
            <w:vAlign w:val="bottom"/>
            <w:hideMark/>
          </w:tcPr>
          <w:p w14:paraId="2E2A59D9"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9.55 (4.34-21.0), &lt;0.0001, 5.61</w:t>
            </w:r>
          </w:p>
        </w:tc>
        <w:tc>
          <w:tcPr>
            <w:tcW w:w="3364" w:type="dxa"/>
            <w:noWrap/>
            <w:vAlign w:val="bottom"/>
            <w:hideMark/>
          </w:tcPr>
          <w:p w14:paraId="29C5B865"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2.48 (1.30-4.73), =0.0060, 2.75</w:t>
            </w:r>
          </w:p>
        </w:tc>
      </w:tr>
      <w:tr w:rsidR="00DE48E0" w:rsidRPr="00CF3785" w14:paraId="4CA270DC" w14:textId="77777777" w:rsidTr="001A3690">
        <w:trPr>
          <w:trHeight w:val="320"/>
        </w:trPr>
        <w:tc>
          <w:tcPr>
            <w:tcW w:w="3330" w:type="dxa"/>
            <w:noWrap/>
            <w:vAlign w:val="bottom"/>
            <w:hideMark/>
          </w:tcPr>
          <w:p w14:paraId="245CAA09" w14:textId="7F4A0E07"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Encephalitis viral</w:t>
            </w:r>
          </w:p>
        </w:tc>
        <w:tc>
          <w:tcPr>
            <w:tcW w:w="1027" w:type="dxa"/>
            <w:gridSpan w:val="2"/>
            <w:noWrap/>
            <w:vAlign w:val="bottom"/>
            <w:hideMark/>
          </w:tcPr>
          <w:p w14:paraId="11F3DABD"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45</w:t>
            </w:r>
          </w:p>
        </w:tc>
        <w:tc>
          <w:tcPr>
            <w:tcW w:w="1280" w:type="dxa"/>
            <w:noWrap/>
            <w:vAlign w:val="bottom"/>
            <w:hideMark/>
          </w:tcPr>
          <w:p w14:paraId="531B325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31</w:t>
            </w:r>
          </w:p>
        </w:tc>
        <w:tc>
          <w:tcPr>
            <w:tcW w:w="720" w:type="dxa"/>
            <w:noWrap/>
            <w:vAlign w:val="bottom"/>
            <w:hideMark/>
          </w:tcPr>
          <w:p w14:paraId="55681258"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144</w:t>
            </w:r>
          </w:p>
        </w:tc>
        <w:tc>
          <w:tcPr>
            <w:tcW w:w="3268" w:type="dxa"/>
            <w:noWrap/>
            <w:vAlign w:val="bottom"/>
            <w:hideMark/>
          </w:tcPr>
          <w:p w14:paraId="14949DC7"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12.9 (7.48-22.4), &lt;0.0001, 9.16</w:t>
            </w:r>
          </w:p>
        </w:tc>
        <w:tc>
          <w:tcPr>
            <w:tcW w:w="3364" w:type="dxa"/>
            <w:noWrap/>
            <w:vAlign w:val="bottom"/>
            <w:hideMark/>
          </w:tcPr>
          <w:p w14:paraId="24758CAC"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2.79 (1.78-4.37), &lt;0.0001, 4.46</w:t>
            </w:r>
          </w:p>
        </w:tc>
      </w:tr>
      <w:tr w:rsidR="00DE48E0" w:rsidRPr="00CF3785" w14:paraId="630FF441" w14:textId="77777777" w:rsidTr="001A3690">
        <w:trPr>
          <w:trHeight w:val="320"/>
        </w:trPr>
        <w:tc>
          <w:tcPr>
            <w:tcW w:w="3330" w:type="dxa"/>
            <w:noWrap/>
            <w:vAlign w:val="bottom"/>
            <w:hideMark/>
          </w:tcPr>
          <w:p w14:paraId="0ED0819D" w14:textId="13A46DC0"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 xml:space="preserve">Encephalomyelitis </w:t>
            </w:r>
          </w:p>
        </w:tc>
        <w:tc>
          <w:tcPr>
            <w:tcW w:w="1027" w:type="dxa"/>
            <w:gridSpan w:val="2"/>
            <w:noWrap/>
            <w:vAlign w:val="bottom"/>
            <w:hideMark/>
          </w:tcPr>
          <w:p w14:paraId="700927C5"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95</w:t>
            </w:r>
          </w:p>
        </w:tc>
        <w:tc>
          <w:tcPr>
            <w:tcW w:w="1280" w:type="dxa"/>
            <w:noWrap/>
            <w:vAlign w:val="bottom"/>
            <w:hideMark/>
          </w:tcPr>
          <w:p w14:paraId="2A479233"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28</w:t>
            </w:r>
          </w:p>
        </w:tc>
        <w:tc>
          <w:tcPr>
            <w:tcW w:w="720" w:type="dxa"/>
            <w:noWrap/>
            <w:vAlign w:val="bottom"/>
            <w:hideMark/>
          </w:tcPr>
          <w:p w14:paraId="16C07C15"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89</w:t>
            </w:r>
          </w:p>
        </w:tc>
        <w:tc>
          <w:tcPr>
            <w:tcW w:w="3268" w:type="dxa"/>
            <w:noWrap/>
            <w:vAlign w:val="bottom"/>
            <w:hideMark/>
          </w:tcPr>
          <w:p w14:paraId="7164E507"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30.2 (18.0-50.8), &lt;0.0001, 12.9</w:t>
            </w:r>
          </w:p>
        </w:tc>
        <w:tc>
          <w:tcPr>
            <w:tcW w:w="3364" w:type="dxa"/>
            <w:noWrap/>
            <w:vAlign w:val="bottom"/>
            <w:hideMark/>
          </w:tcPr>
          <w:p w14:paraId="46B32E9C"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9.52 (6.27-14.5), &lt;0.0001, 10.6</w:t>
            </w:r>
          </w:p>
        </w:tc>
      </w:tr>
      <w:tr w:rsidR="00DE48E0" w:rsidRPr="00CF3785" w14:paraId="54F442E1" w14:textId="77777777" w:rsidTr="001A3690">
        <w:trPr>
          <w:trHeight w:val="320"/>
        </w:trPr>
        <w:tc>
          <w:tcPr>
            <w:tcW w:w="3330" w:type="dxa"/>
            <w:noWrap/>
            <w:vAlign w:val="bottom"/>
            <w:hideMark/>
          </w:tcPr>
          <w:p w14:paraId="761A5CCB" w14:textId="34450F0D"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Limbic encephalitis</w:t>
            </w:r>
          </w:p>
        </w:tc>
        <w:tc>
          <w:tcPr>
            <w:tcW w:w="1027" w:type="dxa"/>
            <w:gridSpan w:val="2"/>
            <w:noWrap/>
            <w:vAlign w:val="bottom"/>
            <w:hideMark/>
          </w:tcPr>
          <w:p w14:paraId="6C66C943"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49</w:t>
            </w:r>
          </w:p>
        </w:tc>
        <w:tc>
          <w:tcPr>
            <w:tcW w:w="1280" w:type="dxa"/>
            <w:noWrap/>
            <w:vAlign w:val="bottom"/>
            <w:hideMark/>
          </w:tcPr>
          <w:p w14:paraId="3E43F05F"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3</w:t>
            </w:r>
          </w:p>
        </w:tc>
        <w:tc>
          <w:tcPr>
            <w:tcW w:w="720" w:type="dxa"/>
            <w:noWrap/>
            <w:vAlign w:val="bottom"/>
            <w:hideMark/>
          </w:tcPr>
          <w:p w14:paraId="4F694F0B"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5</w:t>
            </w:r>
          </w:p>
        </w:tc>
        <w:tc>
          <w:tcPr>
            <w:tcW w:w="3268" w:type="dxa"/>
            <w:noWrap/>
            <w:vAlign w:val="bottom"/>
            <w:hideMark/>
          </w:tcPr>
          <w:p w14:paraId="160A2D5E"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146 (43.7-485), &lt;0.0001, 8.11</w:t>
            </w:r>
          </w:p>
        </w:tc>
        <w:tc>
          <w:tcPr>
            <w:tcW w:w="3364" w:type="dxa"/>
            <w:noWrap/>
            <w:vAlign w:val="bottom"/>
            <w:hideMark/>
          </w:tcPr>
          <w:p w14:paraId="1F7B36DB"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87.4 (33.2-230), &lt;0.0001, 9.05</w:t>
            </w:r>
          </w:p>
        </w:tc>
      </w:tr>
      <w:tr w:rsidR="00DE48E0" w:rsidRPr="00CF3785" w14:paraId="3D04B4AD" w14:textId="77777777" w:rsidTr="001A3690">
        <w:trPr>
          <w:trHeight w:val="320"/>
        </w:trPr>
        <w:tc>
          <w:tcPr>
            <w:tcW w:w="3330" w:type="dxa"/>
            <w:noWrap/>
            <w:vAlign w:val="bottom"/>
            <w:hideMark/>
          </w:tcPr>
          <w:p w14:paraId="39B68AFB" w14:textId="661D4C53"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Meningitis</w:t>
            </w:r>
          </w:p>
        </w:tc>
        <w:tc>
          <w:tcPr>
            <w:tcW w:w="1027" w:type="dxa"/>
            <w:gridSpan w:val="2"/>
            <w:noWrap/>
            <w:vAlign w:val="bottom"/>
            <w:hideMark/>
          </w:tcPr>
          <w:p w14:paraId="2AFE7F79"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411</w:t>
            </w:r>
          </w:p>
        </w:tc>
        <w:tc>
          <w:tcPr>
            <w:tcW w:w="1280" w:type="dxa"/>
            <w:vAlign w:val="bottom"/>
            <w:hideMark/>
          </w:tcPr>
          <w:p w14:paraId="006D18F5"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107</w:t>
            </w:r>
          </w:p>
        </w:tc>
        <w:tc>
          <w:tcPr>
            <w:tcW w:w="720" w:type="dxa"/>
            <w:vAlign w:val="bottom"/>
            <w:hideMark/>
          </w:tcPr>
          <w:p w14:paraId="746313D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1653</w:t>
            </w:r>
          </w:p>
        </w:tc>
        <w:tc>
          <w:tcPr>
            <w:tcW w:w="3268" w:type="dxa"/>
            <w:noWrap/>
            <w:vAlign w:val="bottom"/>
            <w:hideMark/>
          </w:tcPr>
          <w:p w14:paraId="17FE1394"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34.2 (23.7-50.0), &lt;0.0001, 18.8</w:t>
            </w:r>
          </w:p>
        </w:tc>
        <w:tc>
          <w:tcPr>
            <w:tcW w:w="3364" w:type="dxa"/>
            <w:noWrap/>
            <w:vAlign w:val="bottom"/>
            <w:hideMark/>
          </w:tcPr>
          <w:p w14:paraId="0941D13D"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2.22 (1.61-3.05), &lt;0.0001, 4.87</w:t>
            </w:r>
          </w:p>
        </w:tc>
      </w:tr>
      <w:tr w:rsidR="00DE48E0" w:rsidRPr="00CF3785" w14:paraId="4C77BB28" w14:textId="77777777" w:rsidTr="001A3690">
        <w:trPr>
          <w:trHeight w:val="320"/>
        </w:trPr>
        <w:tc>
          <w:tcPr>
            <w:tcW w:w="3330" w:type="dxa"/>
            <w:noWrap/>
            <w:vAlign w:val="bottom"/>
            <w:hideMark/>
          </w:tcPr>
          <w:p w14:paraId="78942E6E" w14:textId="2B523DB7"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Meningitis aseptic</w:t>
            </w:r>
          </w:p>
        </w:tc>
        <w:tc>
          <w:tcPr>
            <w:tcW w:w="1027" w:type="dxa"/>
            <w:gridSpan w:val="2"/>
            <w:noWrap/>
            <w:vAlign w:val="bottom"/>
            <w:hideMark/>
          </w:tcPr>
          <w:p w14:paraId="67C62D24"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231</w:t>
            </w:r>
          </w:p>
        </w:tc>
        <w:tc>
          <w:tcPr>
            <w:tcW w:w="1280" w:type="dxa"/>
            <w:noWrap/>
            <w:vAlign w:val="bottom"/>
            <w:hideMark/>
          </w:tcPr>
          <w:p w14:paraId="38BEAF98"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39</w:t>
            </w:r>
          </w:p>
        </w:tc>
        <w:tc>
          <w:tcPr>
            <w:tcW w:w="720" w:type="dxa"/>
            <w:noWrap/>
            <w:vAlign w:val="bottom"/>
            <w:hideMark/>
          </w:tcPr>
          <w:p w14:paraId="06633B2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244</w:t>
            </w:r>
          </w:p>
        </w:tc>
        <w:tc>
          <w:tcPr>
            <w:tcW w:w="3268" w:type="dxa"/>
            <w:noWrap/>
            <w:vAlign w:val="bottom"/>
            <w:hideMark/>
          </w:tcPr>
          <w:p w14:paraId="27E208D6"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52.8 (33.5-83.1), &lt;0.0001, 17.1</w:t>
            </w:r>
          </w:p>
        </w:tc>
        <w:tc>
          <w:tcPr>
            <w:tcW w:w="3364" w:type="dxa"/>
            <w:noWrap/>
            <w:vAlign w:val="bottom"/>
            <w:hideMark/>
          </w:tcPr>
          <w:p w14:paraId="2579CB44"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8.44 (5.94-12.0), &lt;0.0001, 11.9</w:t>
            </w:r>
          </w:p>
        </w:tc>
      </w:tr>
      <w:tr w:rsidR="00DE48E0" w:rsidRPr="00CF3785" w14:paraId="53B3E992" w14:textId="77777777" w:rsidTr="001A3690">
        <w:trPr>
          <w:trHeight w:val="320"/>
        </w:trPr>
        <w:tc>
          <w:tcPr>
            <w:tcW w:w="3330" w:type="dxa"/>
            <w:noWrap/>
            <w:vAlign w:val="bottom"/>
            <w:hideMark/>
          </w:tcPr>
          <w:p w14:paraId="2853C400" w14:textId="7F686F2F"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Meningitis bacterial</w:t>
            </w:r>
          </w:p>
        </w:tc>
        <w:tc>
          <w:tcPr>
            <w:tcW w:w="1027" w:type="dxa"/>
            <w:gridSpan w:val="2"/>
            <w:noWrap/>
            <w:vAlign w:val="bottom"/>
            <w:hideMark/>
          </w:tcPr>
          <w:p w14:paraId="3092FF01"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40</w:t>
            </w:r>
          </w:p>
        </w:tc>
        <w:tc>
          <w:tcPr>
            <w:tcW w:w="1280" w:type="dxa"/>
            <w:noWrap/>
            <w:vAlign w:val="bottom"/>
            <w:hideMark/>
          </w:tcPr>
          <w:p w14:paraId="124D9C63"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10</w:t>
            </w:r>
          </w:p>
        </w:tc>
        <w:tc>
          <w:tcPr>
            <w:tcW w:w="720" w:type="dxa"/>
            <w:noWrap/>
            <w:vAlign w:val="bottom"/>
            <w:hideMark/>
          </w:tcPr>
          <w:p w14:paraId="46753F55"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180</w:t>
            </w:r>
          </w:p>
        </w:tc>
        <w:tc>
          <w:tcPr>
            <w:tcW w:w="3268" w:type="dxa"/>
            <w:noWrap/>
            <w:vAlign w:val="bottom"/>
            <w:hideMark/>
          </w:tcPr>
          <w:p w14:paraId="1B0B70A7"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35.7 (16.7-76.0), &lt; 0.0001, 9.27</w:t>
            </w:r>
          </w:p>
        </w:tc>
        <w:tc>
          <w:tcPr>
            <w:tcW w:w="3364" w:type="dxa"/>
            <w:noWrap/>
            <w:vAlign w:val="bottom"/>
            <w:hideMark/>
          </w:tcPr>
          <w:p w14:paraId="20ED892B"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1.98 (1.26-3.13), =0.0033, 2.94</w:t>
            </w:r>
          </w:p>
        </w:tc>
      </w:tr>
      <w:tr w:rsidR="00DE48E0" w:rsidRPr="00CF3785" w14:paraId="3D025DFF" w14:textId="77777777" w:rsidTr="001A3690">
        <w:trPr>
          <w:trHeight w:val="320"/>
        </w:trPr>
        <w:tc>
          <w:tcPr>
            <w:tcW w:w="3330" w:type="dxa"/>
            <w:noWrap/>
            <w:vAlign w:val="bottom"/>
            <w:hideMark/>
          </w:tcPr>
          <w:p w14:paraId="381473A9" w14:textId="65E06089"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Meningitis pneumococcal</w:t>
            </w:r>
          </w:p>
        </w:tc>
        <w:tc>
          <w:tcPr>
            <w:tcW w:w="1027" w:type="dxa"/>
            <w:gridSpan w:val="2"/>
            <w:noWrap/>
            <w:vAlign w:val="bottom"/>
            <w:hideMark/>
          </w:tcPr>
          <w:p w14:paraId="03A5EA46"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10</w:t>
            </w:r>
          </w:p>
        </w:tc>
        <w:tc>
          <w:tcPr>
            <w:tcW w:w="1280" w:type="dxa"/>
            <w:noWrap/>
            <w:vAlign w:val="bottom"/>
            <w:hideMark/>
          </w:tcPr>
          <w:p w14:paraId="0F1924AC"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4</w:t>
            </w:r>
          </w:p>
        </w:tc>
        <w:tc>
          <w:tcPr>
            <w:tcW w:w="720" w:type="dxa"/>
            <w:noWrap/>
            <w:vAlign w:val="bottom"/>
            <w:hideMark/>
          </w:tcPr>
          <w:p w14:paraId="52A09886"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730</w:t>
            </w:r>
          </w:p>
        </w:tc>
        <w:tc>
          <w:tcPr>
            <w:tcW w:w="3268" w:type="dxa"/>
            <w:noWrap/>
            <w:vAlign w:val="bottom"/>
            <w:hideMark/>
          </w:tcPr>
          <w:p w14:paraId="760835CD"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22.3 (6.73-73.9), &lt;0.0001, 5.08</w:t>
            </w:r>
          </w:p>
        </w:tc>
        <w:tc>
          <w:tcPr>
            <w:tcW w:w="3364" w:type="dxa"/>
            <w:noWrap/>
            <w:vAlign w:val="bottom"/>
            <w:hideMark/>
          </w:tcPr>
          <w:p w14:paraId="3404F39B"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0.122 (0.0611-0.244), &lt;0.0001, 5.95</w:t>
            </w:r>
          </w:p>
        </w:tc>
      </w:tr>
      <w:tr w:rsidR="00DE48E0" w:rsidRPr="00CF3785" w14:paraId="62960CAD" w14:textId="77777777" w:rsidTr="001A3690">
        <w:trPr>
          <w:trHeight w:val="320"/>
        </w:trPr>
        <w:tc>
          <w:tcPr>
            <w:tcW w:w="3330" w:type="dxa"/>
            <w:noWrap/>
            <w:vAlign w:val="bottom"/>
            <w:hideMark/>
          </w:tcPr>
          <w:p w14:paraId="1EDCCD91" w14:textId="21D365D8"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Meningitis tuberculous</w:t>
            </w:r>
          </w:p>
        </w:tc>
        <w:tc>
          <w:tcPr>
            <w:tcW w:w="1027" w:type="dxa"/>
            <w:gridSpan w:val="2"/>
            <w:noWrap/>
            <w:vAlign w:val="bottom"/>
            <w:hideMark/>
          </w:tcPr>
          <w:p w14:paraId="17C6E38F"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4</w:t>
            </w:r>
          </w:p>
        </w:tc>
        <w:tc>
          <w:tcPr>
            <w:tcW w:w="1280" w:type="dxa"/>
            <w:noWrap/>
            <w:vAlign w:val="bottom"/>
            <w:hideMark/>
          </w:tcPr>
          <w:p w14:paraId="44149B0C"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w:t>
            </w:r>
          </w:p>
        </w:tc>
        <w:tc>
          <w:tcPr>
            <w:tcW w:w="720" w:type="dxa"/>
            <w:noWrap/>
            <w:vAlign w:val="bottom"/>
            <w:hideMark/>
          </w:tcPr>
          <w:p w14:paraId="658CFAB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7</w:t>
            </w:r>
          </w:p>
        </w:tc>
        <w:tc>
          <w:tcPr>
            <w:tcW w:w="3268" w:type="dxa"/>
            <w:noWrap/>
            <w:vAlign w:val="bottom"/>
            <w:hideMark/>
          </w:tcPr>
          <w:p w14:paraId="6C7C2DA0"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35.7 (3.90-326), =0.0015, 3.17</w:t>
            </w:r>
          </w:p>
        </w:tc>
        <w:tc>
          <w:tcPr>
            <w:tcW w:w="3364" w:type="dxa"/>
            <w:noWrap/>
            <w:vAlign w:val="bottom"/>
            <w:hideMark/>
          </w:tcPr>
          <w:p w14:paraId="72EF54D3"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5.09 (1.44-18.0), =0.0116, 2.52</w:t>
            </w:r>
          </w:p>
        </w:tc>
      </w:tr>
      <w:tr w:rsidR="00DE48E0" w:rsidRPr="00CF3785" w14:paraId="76776D49" w14:textId="77777777" w:rsidTr="001A3690">
        <w:trPr>
          <w:trHeight w:val="320"/>
        </w:trPr>
        <w:tc>
          <w:tcPr>
            <w:tcW w:w="3330" w:type="dxa"/>
            <w:noWrap/>
            <w:vAlign w:val="bottom"/>
            <w:hideMark/>
          </w:tcPr>
          <w:p w14:paraId="31712396" w14:textId="0B50F709"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Meningitis viral</w:t>
            </w:r>
          </w:p>
        </w:tc>
        <w:tc>
          <w:tcPr>
            <w:tcW w:w="1027" w:type="dxa"/>
            <w:gridSpan w:val="2"/>
            <w:noWrap/>
            <w:vAlign w:val="bottom"/>
            <w:hideMark/>
          </w:tcPr>
          <w:p w14:paraId="5C6F0A0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116</w:t>
            </w:r>
          </w:p>
        </w:tc>
        <w:tc>
          <w:tcPr>
            <w:tcW w:w="1280" w:type="dxa"/>
            <w:noWrap/>
            <w:vAlign w:val="bottom"/>
            <w:hideMark/>
          </w:tcPr>
          <w:p w14:paraId="2AE1AFC0"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42</w:t>
            </w:r>
          </w:p>
        </w:tc>
        <w:tc>
          <w:tcPr>
            <w:tcW w:w="720" w:type="dxa"/>
            <w:noWrap/>
            <w:vAlign w:val="bottom"/>
            <w:hideMark/>
          </w:tcPr>
          <w:p w14:paraId="2F202B79"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217</w:t>
            </w:r>
          </w:p>
        </w:tc>
        <w:tc>
          <w:tcPr>
            <w:tcW w:w="3268" w:type="dxa"/>
            <w:noWrap/>
            <w:vAlign w:val="bottom"/>
            <w:hideMark/>
          </w:tcPr>
          <w:p w14:paraId="003088D1"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24.6 (15.5-39.2), &lt;0.0001, 13.5</w:t>
            </w:r>
          </w:p>
        </w:tc>
        <w:tc>
          <w:tcPr>
            <w:tcW w:w="3364" w:type="dxa"/>
            <w:noWrap/>
            <w:vAlign w:val="bottom"/>
            <w:hideMark/>
          </w:tcPr>
          <w:p w14:paraId="60FD74D1"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4.77 (3.27-6.94), &lt;0.0001, 8.13</w:t>
            </w:r>
          </w:p>
        </w:tc>
      </w:tr>
      <w:tr w:rsidR="00DE48E0" w:rsidRPr="00CF3785" w14:paraId="266B942A" w14:textId="77777777" w:rsidTr="001A3690">
        <w:trPr>
          <w:trHeight w:val="320"/>
        </w:trPr>
        <w:tc>
          <w:tcPr>
            <w:tcW w:w="3330" w:type="dxa"/>
            <w:noWrap/>
            <w:vAlign w:val="bottom"/>
            <w:hideMark/>
          </w:tcPr>
          <w:p w14:paraId="4DA5F857" w14:textId="393801C8"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Meningoencephalitis bacterial</w:t>
            </w:r>
          </w:p>
        </w:tc>
        <w:tc>
          <w:tcPr>
            <w:tcW w:w="1027" w:type="dxa"/>
            <w:gridSpan w:val="2"/>
            <w:noWrap/>
            <w:vAlign w:val="bottom"/>
            <w:hideMark/>
          </w:tcPr>
          <w:p w14:paraId="7334FF1D"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6</w:t>
            </w:r>
          </w:p>
        </w:tc>
        <w:tc>
          <w:tcPr>
            <w:tcW w:w="1280" w:type="dxa"/>
            <w:noWrap/>
            <w:vAlign w:val="bottom"/>
            <w:hideMark/>
          </w:tcPr>
          <w:p w14:paraId="532BEFC0"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w:t>
            </w:r>
          </w:p>
        </w:tc>
        <w:tc>
          <w:tcPr>
            <w:tcW w:w="720" w:type="dxa"/>
            <w:noWrap/>
            <w:vAlign w:val="bottom"/>
            <w:hideMark/>
          </w:tcPr>
          <w:p w14:paraId="57996819"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11</w:t>
            </w:r>
          </w:p>
        </w:tc>
        <w:tc>
          <w:tcPr>
            <w:tcW w:w="3268" w:type="dxa"/>
            <w:noWrap/>
            <w:vAlign w:val="bottom"/>
            <w:hideMark/>
          </w:tcPr>
          <w:p w14:paraId="333B6EA2"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26.7 (5.25-136), &lt;0.0001, 3.96</w:t>
            </w:r>
          </w:p>
        </w:tc>
        <w:tc>
          <w:tcPr>
            <w:tcW w:w="3364" w:type="dxa"/>
            <w:noWrap/>
            <w:vAlign w:val="bottom"/>
            <w:hideMark/>
          </w:tcPr>
          <w:p w14:paraId="0A1017BE"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4.86 (1.72-13.7), =0.0029, 2.98</w:t>
            </w:r>
          </w:p>
        </w:tc>
      </w:tr>
      <w:tr w:rsidR="00DE48E0" w:rsidRPr="00CF3785" w14:paraId="7CEBF2E8" w14:textId="77777777" w:rsidTr="001A3690">
        <w:trPr>
          <w:trHeight w:val="320"/>
        </w:trPr>
        <w:tc>
          <w:tcPr>
            <w:tcW w:w="3330" w:type="dxa"/>
            <w:noWrap/>
            <w:vAlign w:val="bottom"/>
            <w:hideMark/>
          </w:tcPr>
          <w:p w14:paraId="081FD552" w14:textId="67417C13"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Meningoencephalitis viral</w:t>
            </w:r>
          </w:p>
        </w:tc>
        <w:tc>
          <w:tcPr>
            <w:tcW w:w="1027" w:type="dxa"/>
            <w:gridSpan w:val="2"/>
            <w:noWrap/>
            <w:vAlign w:val="bottom"/>
            <w:hideMark/>
          </w:tcPr>
          <w:p w14:paraId="484757E5"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11</w:t>
            </w:r>
          </w:p>
        </w:tc>
        <w:tc>
          <w:tcPr>
            <w:tcW w:w="1280" w:type="dxa"/>
            <w:noWrap/>
            <w:vAlign w:val="bottom"/>
            <w:hideMark/>
          </w:tcPr>
          <w:p w14:paraId="7403D35D"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5</w:t>
            </w:r>
          </w:p>
        </w:tc>
        <w:tc>
          <w:tcPr>
            <w:tcW w:w="720" w:type="dxa"/>
            <w:noWrap/>
            <w:vAlign w:val="bottom"/>
            <w:hideMark/>
          </w:tcPr>
          <w:p w14:paraId="51D09B8F"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22</w:t>
            </w:r>
          </w:p>
        </w:tc>
        <w:tc>
          <w:tcPr>
            <w:tcW w:w="3268" w:type="dxa"/>
            <w:noWrap/>
            <w:vAlign w:val="bottom"/>
            <w:hideMark/>
          </w:tcPr>
          <w:p w14:paraId="4AEC91B1"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19.6 (6.53-58.9), &lt;0.0001, 5.31</w:t>
            </w:r>
          </w:p>
        </w:tc>
        <w:tc>
          <w:tcPr>
            <w:tcW w:w="3364" w:type="dxa"/>
            <w:noWrap/>
            <w:vAlign w:val="bottom"/>
            <w:hideMark/>
          </w:tcPr>
          <w:p w14:paraId="709E1DD9"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4.46 (2.04-9.76), =0.0002, 3.74</w:t>
            </w:r>
          </w:p>
        </w:tc>
      </w:tr>
      <w:tr w:rsidR="00DE48E0" w:rsidRPr="00CF3785" w14:paraId="7AF6C64A" w14:textId="77777777" w:rsidTr="001A3690">
        <w:trPr>
          <w:trHeight w:val="320"/>
        </w:trPr>
        <w:tc>
          <w:tcPr>
            <w:tcW w:w="3330" w:type="dxa"/>
            <w:noWrap/>
            <w:vAlign w:val="bottom"/>
          </w:tcPr>
          <w:p w14:paraId="02D2AFD6" w14:textId="6FE3E840" w:rsidR="00DE48E0" w:rsidRDefault="00DE48E0" w:rsidP="00893323">
            <w:pPr>
              <w:rPr>
                <w:rFonts w:asciiTheme="minorHAnsi" w:hAnsiTheme="minorHAnsi" w:cstheme="minorHAnsi"/>
                <w:color w:val="000000"/>
              </w:rPr>
            </w:pPr>
            <w:r w:rsidRPr="003A0B8D">
              <w:rPr>
                <w:rFonts w:asciiTheme="minorHAnsi" w:hAnsiTheme="minorHAnsi" w:cstheme="minorHAnsi"/>
                <w:color w:val="000000"/>
              </w:rPr>
              <w:t>Meningococcal infection</w:t>
            </w:r>
          </w:p>
        </w:tc>
        <w:tc>
          <w:tcPr>
            <w:tcW w:w="1027" w:type="dxa"/>
            <w:gridSpan w:val="2"/>
            <w:noWrap/>
            <w:vAlign w:val="bottom"/>
          </w:tcPr>
          <w:p w14:paraId="67B05A77" w14:textId="77777777" w:rsidR="00DE48E0" w:rsidRPr="003A0B8D" w:rsidRDefault="00DE48E0" w:rsidP="00893323">
            <w:pPr>
              <w:jc w:val="right"/>
              <w:rPr>
                <w:rFonts w:asciiTheme="minorHAnsi" w:hAnsiTheme="minorHAnsi" w:cstheme="minorHAnsi"/>
                <w:color w:val="000000"/>
              </w:rPr>
            </w:pPr>
            <w:r w:rsidRPr="003A0B8D">
              <w:rPr>
                <w:rFonts w:asciiTheme="minorHAnsi" w:hAnsiTheme="minorHAnsi" w:cstheme="minorHAnsi"/>
                <w:color w:val="000000"/>
              </w:rPr>
              <w:t>5</w:t>
            </w:r>
          </w:p>
        </w:tc>
        <w:tc>
          <w:tcPr>
            <w:tcW w:w="1280" w:type="dxa"/>
            <w:noWrap/>
            <w:vAlign w:val="bottom"/>
          </w:tcPr>
          <w:p w14:paraId="738B6A23" w14:textId="77777777" w:rsidR="00DE48E0" w:rsidRPr="003A0B8D" w:rsidRDefault="00DE48E0" w:rsidP="00893323">
            <w:pPr>
              <w:jc w:val="right"/>
              <w:rPr>
                <w:rFonts w:asciiTheme="minorHAnsi" w:hAnsiTheme="minorHAnsi" w:cstheme="minorHAnsi"/>
                <w:color w:val="000000"/>
              </w:rPr>
            </w:pPr>
            <w:r w:rsidRPr="003A0B8D">
              <w:rPr>
                <w:rFonts w:asciiTheme="minorHAnsi" w:hAnsiTheme="minorHAnsi" w:cstheme="minorHAnsi"/>
                <w:color w:val="000000"/>
              </w:rPr>
              <w:t>5</w:t>
            </w:r>
          </w:p>
        </w:tc>
        <w:tc>
          <w:tcPr>
            <w:tcW w:w="720" w:type="dxa"/>
            <w:noWrap/>
            <w:vAlign w:val="bottom"/>
          </w:tcPr>
          <w:p w14:paraId="4673A891" w14:textId="77777777" w:rsidR="00DE48E0" w:rsidRPr="003A0B8D" w:rsidRDefault="00DE48E0" w:rsidP="00893323">
            <w:pPr>
              <w:jc w:val="right"/>
              <w:rPr>
                <w:rFonts w:asciiTheme="minorHAnsi" w:hAnsiTheme="minorHAnsi" w:cstheme="minorHAnsi"/>
                <w:color w:val="000000"/>
              </w:rPr>
            </w:pPr>
            <w:r w:rsidRPr="003A0B8D">
              <w:rPr>
                <w:rFonts w:asciiTheme="minorHAnsi" w:hAnsiTheme="minorHAnsi" w:cstheme="minorHAnsi"/>
                <w:color w:val="000000"/>
              </w:rPr>
              <w:t>370</w:t>
            </w:r>
          </w:p>
        </w:tc>
        <w:tc>
          <w:tcPr>
            <w:tcW w:w="3268" w:type="dxa"/>
            <w:noWrap/>
            <w:vAlign w:val="bottom"/>
          </w:tcPr>
          <w:p w14:paraId="5E169313" w14:textId="77777777" w:rsidR="00DE48E0" w:rsidRPr="003A0B8D" w:rsidRDefault="00DE48E0" w:rsidP="00893323">
            <w:pPr>
              <w:jc w:val="center"/>
              <w:rPr>
                <w:rFonts w:asciiTheme="minorHAnsi" w:hAnsiTheme="minorHAnsi" w:cstheme="minorHAnsi"/>
                <w:color w:val="000000"/>
              </w:rPr>
            </w:pPr>
            <w:r w:rsidRPr="003A0B8D">
              <w:rPr>
                <w:rFonts w:asciiTheme="minorHAnsi" w:hAnsiTheme="minorHAnsi" w:cstheme="minorHAnsi"/>
                <w:color w:val="000000"/>
              </w:rPr>
              <w:t xml:space="preserve">8.91 (2.49-31.9), =0.0008, 3.36      </w:t>
            </w:r>
          </w:p>
        </w:tc>
        <w:tc>
          <w:tcPr>
            <w:tcW w:w="3364" w:type="dxa"/>
            <w:noWrap/>
            <w:vAlign w:val="bottom"/>
          </w:tcPr>
          <w:p w14:paraId="231515EC" w14:textId="77777777" w:rsidR="00DE48E0" w:rsidRPr="003A0B8D" w:rsidRDefault="00DE48E0" w:rsidP="00893323">
            <w:pPr>
              <w:jc w:val="center"/>
              <w:rPr>
                <w:rFonts w:asciiTheme="minorHAnsi" w:hAnsiTheme="minorHAnsi" w:cstheme="minorHAnsi"/>
                <w:color w:val="000000"/>
              </w:rPr>
            </w:pPr>
            <w:r w:rsidRPr="003A0B8D">
              <w:rPr>
                <w:rFonts w:asciiTheme="minorHAnsi" w:hAnsiTheme="minorHAnsi" w:cstheme="minorHAnsi"/>
                <w:color w:val="000000"/>
              </w:rPr>
              <w:t>0.121 (0.0474-0.306), &lt;0.0001, 4.45</w:t>
            </w:r>
          </w:p>
        </w:tc>
      </w:tr>
      <w:tr w:rsidR="00DE48E0" w:rsidRPr="00CF3785" w14:paraId="66947D3A" w14:textId="77777777" w:rsidTr="001A3690">
        <w:trPr>
          <w:trHeight w:val="320"/>
        </w:trPr>
        <w:tc>
          <w:tcPr>
            <w:tcW w:w="3330" w:type="dxa"/>
            <w:noWrap/>
            <w:vAlign w:val="bottom"/>
            <w:hideMark/>
          </w:tcPr>
          <w:p w14:paraId="6821F0A1" w14:textId="5CDF1A74"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Meningoradiculitis</w:t>
            </w:r>
          </w:p>
        </w:tc>
        <w:tc>
          <w:tcPr>
            <w:tcW w:w="1027" w:type="dxa"/>
            <w:gridSpan w:val="2"/>
            <w:noWrap/>
            <w:vAlign w:val="bottom"/>
            <w:hideMark/>
          </w:tcPr>
          <w:p w14:paraId="791931F8"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18</w:t>
            </w:r>
          </w:p>
        </w:tc>
        <w:tc>
          <w:tcPr>
            <w:tcW w:w="1280" w:type="dxa"/>
            <w:noWrap/>
            <w:vAlign w:val="bottom"/>
            <w:hideMark/>
          </w:tcPr>
          <w:p w14:paraId="569EDCFF"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w:t>
            </w:r>
          </w:p>
        </w:tc>
        <w:tc>
          <w:tcPr>
            <w:tcW w:w="720" w:type="dxa"/>
            <w:noWrap/>
            <w:vAlign w:val="bottom"/>
            <w:hideMark/>
          </w:tcPr>
          <w:p w14:paraId="2790FDAD"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10</w:t>
            </w:r>
          </w:p>
        </w:tc>
        <w:tc>
          <w:tcPr>
            <w:tcW w:w="3268" w:type="dxa"/>
            <w:noWrap/>
            <w:vAlign w:val="bottom"/>
            <w:hideMark/>
          </w:tcPr>
          <w:p w14:paraId="0060A3ED"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80.2 (18.1-357), &lt;0.0001, 5.76</w:t>
            </w:r>
          </w:p>
        </w:tc>
        <w:tc>
          <w:tcPr>
            <w:tcW w:w="3364" w:type="dxa"/>
            <w:noWrap/>
            <w:vAlign w:val="bottom"/>
            <w:hideMark/>
          </w:tcPr>
          <w:p w14:paraId="167D78EB"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16.0 (7.00-36.8), &lt;0.0001, 6.56</w:t>
            </w:r>
          </w:p>
        </w:tc>
      </w:tr>
      <w:tr w:rsidR="00DE48E0" w:rsidRPr="00CF3785" w14:paraId="4B4CB551" w14:textId="77777777" w:rsidTr="001A3690">
        <w:trPr>
          <w:trHeight w:val="320"/>
        </w:trPr>
        <w:tc>
          <w:tcPr>
            <w:tcW w:w="3330" w:type="dxa"/>
            <w:noWrap/>
            <w:vAlign w:val="bottom"/>
            <w:hideMark/>
          </w:tcPr>
          <w:p w14:paraId="69950892" w14:textId="168D78E4"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Neuroborreliosis</w:t>
            </w:r>
          </w:p>
        </w:tc>
        <w:tc>
          <w:tcPr>
            <w:tcW w:w="1027" w:type="dxa"/>
            <w:gridSpan w:val="2"/>
            <w:noWrap/>
            <w:vAlign w:val="bottom"/>
            <w:hideMark/>
          </w:tcPr>
          <w:p w14:paraId="1576A7AD"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36</w:t>
            </w:r>
          </w:p>
        </w:tc>
        <w:tc>
          <w:tcPr>
            <w:tcW w:w="1280" w:type="dxa"/>
            <w:noWrap/>
            <w:vAlign w:val="bottom"/>
            <w:hideMark/>
          </w:tcPr>
          <w:p w14:paraId="040B5B23"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w:t>
            </w:r>
          </w:p>
        </w:tc>
        <w:tc>
          <w:tcPr>
            <w:tcW w:w="720" w:type="dxa"/>
            <w:noWrap/>
            <w:vAlign w:val="bottom"/>
            <w:hideMark/>
          </w:tcPr>
          <w:p w14:paraId="42B40589"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9</w:t>
            </w:r>
          </w:p>
        </w:tc>
        <w:tc>
          <w:tcPr>
            <w:tcW w:w="3268" w:type="dxa"/>
            <w:noWrap/>
            <w:vAlign w:val="bottom"/>
            <w:hideMark/>
          </w:tcPr>
          <w:p w14:paraId="0F453EFA"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321 (43.0-2390), &lt;0.0001, 5.63</w:t>
            </w:r>
          </w:p>
        </w:tc>
        <w:tc>
          <w:tcPr>
            <w:tcW w:w="3364" w:type="dxa"/>
            <w:noWrap/>
            <w:vAlign w:val="bottom"/>
            <w:hideMark/>
          </w:tcPr>
          <w:p w14:paraId="6E8DA701"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35.7 (16.2-78.6), &lt;0.0001, 8.87</w:t>
            </w:r>
          </w:p>
        </w:tc>
      </w:tr>
      <w:tr w:rsidR="00DE48E0" w:rsidRPr="00CF3785" w14:paraId="24E62F63" w14:textId="77777777" w:rsidTr="001A3690">
        <w:trPr>
          <w:trHeight w:val="320"/>
        </w:trPr>
        <w:tc>
          <w:tcPr>
            <w:tcW w:w="3330" w:type="dxa"/>
            <w:noWrap/>
            <w:vAlign w:val="bottom"/>
            <w:hideMark/>
          </w:tcPr>
          <w:p w14:paraId="58D4CA1A" w14:textId="3013315C"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Neurological infection</w:t>
            </w:r>
          </w:p>
        </w:tc>
        <w:tc>
          <w:tcPr>
            <w:tcW w:w="1027" w:type="dxa"/>
            <w:gridSpan w:val="2"/>
            <w:noWrap/>
            <w:vAlign w:val="bottom"/>
            <w:hideMark/>
          </w:tcPr>
          <w:p w14:paraId="765A33F0"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7</w:t>
            </w:r>
          </w:p>
        </w:tc>
        <w:tc>
          <w:tcPr>
            <w:tcW w:w="1280" w:type="dxa"/>
            <w:noWrap/>
            <w:vAlign w:val="bottom"/>
            <w:hideMark/>
          </w:tcPr>
          <w:p w14:paraId="7D877EFC"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3</w:t>
            </w:r>
          </w:p>
        </w:tc>
        <w:tc>
          <w:tcPr>
            <w:tcW w:w="720" w:type="dxa"/>
            <w:noWrap/>
            <w:vAlign w:val="bottom"/>
            <w:hideMark/>
          </w:tcPr>
          <w:p w14:paraId="521F930A"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11</w:t>
            </w:r>
          </w:p>
        </w:tc>
        <w:tc>
          <w:tcPr>
            <w:tcW w:w="3268" w:type="dxa"/>
            <w:noWrap/>
            <w:vAlign w:val="bottom"/>
            <w:hideMark/>
          </w:tcPr>
          <w:p w14:paraId="2058CC76"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20.8 (5.20-83.2), &lt;0.0001, 4.29</w:t>
            </w:r>
          </w:p>
        </w:tc>
        <w:tc>
          <w:tcPr>
            <w:tcW w:w="3364" w:type="dxa"/>
            <w:noWrap/>
            <w:vAlign w:val="bottom"/>
            <w:hideMark/>
          </w:tcPr>
          <w:p w14:paraId="09A89EF1"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5.67 (2.10-15.3), =0.0006, 3.42</w:t>
            </w:r>
          </w:p>
        </w:tc>
      </w:tr>
      <w:tr w:rsidR="00DE48E0" w:rsidRPr="00CF3785" w14:paraId="260EF3E6" w14:textId="77777777" w:rsidTr="001A3690">
        <w:trPr>
          <w:trHeight w:val="320"/>
        </w:trPr>
        <w:tc>
          <w:tcPr>
            <w:tcW w:w="3330" w:type="dxa"/>
            <w:noWrap/>
            <w:vAlign w:val="bottom"/>
            <w:hideMark/>
          </w:tcPr>
          <w:p w14:paraId="2DB4A668" w14:textId="7F011079"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Neurosyphilis</w:t>
            </w:r>
          </w:p>
        </w:tc>
        <w:tc>
          <w:tcPr>
            <w:tcW w:w="1027" w:type="dxa"/>
            <w:gridSpan w:val="2"/>
            <w:noWrap/>
            <w:vAlign w:val="bottom"/>
            <w:hideMark/>
          </w:tcPr>
          <w:p w14:paraId="0660BB87"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5</w:t>
            </w:r>
          </w:p>
        </w:tc>
        <w:tc>
          <w:tcPr>
            <w:tcW w:w="1280" w:type="dxa"/>
            <w:noWrap/>
            <w:vAlign w:val="bottom"/>
            <w:hideMark/>
          </w:tcPr>
          <w:p w14:paraId="4806D20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w:t>
            </w:r>
          </w:p>
        </w:tc>
        <w:tc>
          <w:tcPr>
            <w:tcW w:w="720" w:type="dxa"/>
            <w:noWrap/>
            <w:vAlign w:val="bottom"/>
            <w:hideMark/>
          </w:tcPr>
          <w:p w14:paraId="48B53CC6"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4</w:t>
            </w:r>
          </w:p>
        </w:tc>
        <w:tc>
          <w:tcPr>
            <w:tcW w:w="3268" w:type="dxa"/>
            <w:noWrap/>
            <w:vAlign w:val="bottom"/>
            <w:hideMark/>
          </w:tcPr>
          <w:p w14:paraId="6BE96207"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44.6 (5.10-390), =0.0006, 3.43</w:t>
            </w:r>
          </w:p>
        </w:tc>
        <w:tc>
          <w:tcPr>
            <w:tcW w:w="3364" w:type="dxa"/>
            <w:noWrap/>
            <w:vAlign w:val="bottom"/>
            <w:hideMark/>
          </w:tcPr>
          <w:p w14:paraId="7362882C"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11.1 (2.89-42.9), =0.0005, 3.50</w:t>
            </w:r>
          </w:p>
        </w:tc>
      </w:tr>
      <w:tr w:rsidR="00DE48E0" w:rsidRPr="00CF3785" w14:paraId="4743FA1C" w14:textId="77777777" w:rsidTr="001A3690">
        <w:trPr>
          <w:trHeight w:val="320"/>
        </w:trPr>
        <w:tc>
          <w:tcPr>
            <w:tcW w:w="3330" w:type="dxa"/>
            <w:noWrap/>
            <w:vAlign w:val="bottom"/>
            <w:hideMark/>
          </w:tcPr>
          <w:p w14:paraId="26AF9865" w14:textId="431A113F"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Noninfective encephalitis</w:t>
            </w:r>
          </w:p>
        </w:tc>
        <w:tc>
          <w:tcPr>
            <w:tcW w:w="1027" w:type="dxa"/>
            <w:gridSpan w:val="2"/>
            <w:noWrap/>
            <w:vAlign w:val="bottom"/>
            <w:hideMark/>
          </w:tcPr>
          <w:p w14:paraId="39762C5D"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142</w:t>
            </w:r>
          </w:p>
        </w:tc>
        <w:tc>
          <w:tcPr>
            <w:tcW w:w="1280" w:type="dxa"/>
            <w:noWrap/>
            <w:vAlign w:val="bottom"/>
            <w:hideMark/>
          </w:tcPr>
          <w:p w14:paraId="0590C52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17</w:t>
            </w:r>
          </w:p>
        </w:tc>
        <w:tc>
          <w:tcPr>
            <w:tcW w:w="720" w:type="dxa"/>
            <w:noWrap/>
            <w:vAlign w:val="bottom"/>
            <w:hideMark/>
          </w:tcPr>
          <w:p w14:paraId="1DE91D93"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100</w:t>
            </w:r>
          </w:p>
        </w:tc>
        <w:tc>
          <w:tcPr>
            <w:tcW w:w="3268" w:type="dxa"/>
            <w:noWrap/>
            <w:vAlign w:val="bottom"/>
            <w:hideMark/>
          </w:tcPr>
          <w:p w14:paraId="13205C28"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74.5 (41.4-134), &lt;0.0001, 14.4</w:t>
            </w:r>
          </w:p>
        </w:tc>
        <w:tc>
          <w:tcPr>
            <w:tcW w:w="3364" w:type="dxa"/>
            <w:noWrap/>
            <w:vAlign w:val="bottom"/>
            <w:hideMark/>
          </w:tcPr>
          <w:p w14:paraId="5B7C3682"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12.7 (8.52-18.8), &lt;0.0001, 12.6</w:t>
            </w:r>
          </w:p>
        </w:tc>
      </w:tr>
      <w:tr w:rsidR="00DE48E0" w:rsidRPr="00CF3785" w14:paraId="7BC6DB92" w14:textId="77777777" w:rsidTr="001A3690">
        <w:trPr>
          <w:trHeight w:val="320"/>
        </w:trPr>
        <w:tc>
          <w:tcPr>
            <w:tcW w:w="3330" w:type="dxa"/>
            <w:noWrap/>
            <w:vAlign w:val="bottom"/>
            <w:hideMark/>
          </w:tcPr>
          <w:p w14:paraId="15DED8B2" w14:textId="74F85BB8"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Pachymeningitis</w:t>
            </w:r>
          </w:p>
        </w:tc>
        <w:tc>
          <w:tcPr>
            <w:tcW w:w="1027" w:type="dxa"/>
            <w:gridSpan w:val="2"/>
            <w:noWrap/>
            <w:vAlign w:val="bottom"/>
            <w:hideMark/>
          </w:tcPr>
          <w:p w14:paraId="212BD3F2"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17</w:t>
            </w:r>
          </w:p>
        </w:tc>
        <w:tc>
          <w:tcPr>
            <w:tcW w:w="1280" w:type="dxa"/>
            <w:noWrap/>
            <w:vAlign w:val="bottom"/>
            <w:hideMark/>
          </w:tcPr>
          <w:p w14:paraId="296EB5F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w:t>
            </w:r>
          </w:p>
        </w:tc>
        <w:tc>
          <w:tcPr>
            <w:tcW w:w="720" w:type="dxa"/>
            <w:noWrap/>
            <w:vAlign w:val="bottom"/>
            <w:hideMark/>
          </w:tcPr>
          <w:p w14:paraId="1748AB44"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5</w:t>
            </w:r>
          </w:p>
        </w:tc>
        <w:tc>
          <w:tcPr>
            <w:tcW w:w="3268" w:type="dxa"/>
            <w:noWrap/>
            <w:vAlign w:val="bottom"/>
            <w:hideMark/>
          </w:tcPr>
          <w:p w14:paraId="59DF08F2"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152 (19.7-1160), &lt;0.0001, 4.83</w:t>
            </w:r>
          </w:p>
        </w:tc>
        <w:tc>
          <w:tcPr>
            <w:tcW w:w="3364" w:type="dxa"/>
            <w:noWrap/>
            <w:vAlign w:val="bottom"/>
            <w:hideMark/>
          </w:tcPr>
          <w:p w14:paraId="5C67236C"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30.3(10.7-85.9), &lt;0.0001, 6.42</w:t>
            </w:r>
          </w:p>
        </w:tc>
      </w:tr>
      <w:tr w:rsidR="00DE48E0" w:rsidRPr="00CF3785" w14:paraId="3D295F8A" w14:textId="77777777" w:rsidTr="001A3690">
        <w:trPr>
          <w:trHeight w:val="320"/>
        </w:trPr>
        <w:tc>
          <w:tcPr>
            <w:tcW w:w="3330" w:type="dxa"/>
            <w:noWrap/>
            <w:vAlign w:val="bottom"/>
            <w:hideMark/>
          </w:tcPr>
          <w:p w14:paraId="16E25B1D" w14:textId="57D154B2"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lastRenderedPageBreak/>
              <w:t>Progressive multifocal leukoencephalopathy</w:t>
            </w:r>
          </w:p>
        </w:tc>
        <w:tc>
          <w:tcPr>
            <w:tcW w:w="1027" w:type="dxa"/>
            <w:gridSpan w:val="2"/>
            <w:noWrap/>
            <w:vAlign w:val="bottom"/>
            <w:hideMark/>
          </w:tcPr>
          <w:p w14:paraId="04CE30BE"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10</w:t>
            </w:r>
          </w:p>
        </w:tc>
        <w:tc>
          <w:tcPr>
            <w:tcW w:w="1280" w:type="dxa"/>
            <w:noWrap/>
            <w:vAlign w:val="bottom"/>
            <w:hideMark/>
          </w:tcPr>
          <w:p w14:paraId="7530AE41"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w:t>
            </w:r>
          </w:p>
        </w:tc>
        <w:tc>
          <w:tcPr>
            <w:tcW w:w="720" w:type="dxa"/>
            <w:noWrap/>
            <w:vAlign w:val="bottom"/>
            <w:hideMark/>
          </w:tcPr>
          <w:p w14:paraId="6799ED85"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9</w:t>
            </w:r>
          </w:p>
        </w:tc>
        <w:tc>
          <w:tcPr>
            <w:tcW w:w="3268" w:type="dxa"/>
            <w:noWrap/>
            <w:vAlign w:val="bottom"/>
            <w:hideMark/>
          </w:tcPr>
          <w:p w14:paraId="1739F58A"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44.6 (9.48-210), &lt;0.0001, 4.81</w:t>
            </w:r>
          </w:p>
        </w:tc>
        <w:tc>
          <w:tcPr>
            <w:tcW w:w="3364" w:type="dxa"/>
            <w:noWrap/>
            <w:vAlign w:val="bottom"/>
            <w:hideMark/>
          </w:tcPr>
          <w:p w14:paraId="258D6A07"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9.91 (3.83-25.6), &lt;0.0001, 4.73</w:t>
            </w:r>
          </w:p>
        </w:tc>
      </w:tr>
      <w:tr w:rsidR="00DE48E0" w:rsidRPr="00CF3785" w14:paraId="75F31DE2" w14:textId="77777777" w:rsidTr="001A3690">
        <w:trPr>
          <w:trHeight w:val="320"/>
        </w:trPr>
        <w:tc>
          <w:tcPr>
            <w:tcW w:w="3330" w:type="dxa"/>
            <w:noWrap/>
            <w:vAlign w:val="bottom"/>
            <w:hideMark/>
          </w:tcPr>
          <w:p w14:paraId="77431888" w14:textId="46EEC6BE"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Spinal cord infection</w:t>
            </w:r>
          </w:p>
        </w:tc>
        <w:tc>
          <w:tcPr>
            <w:tcW w:w="1027" w:type="dxa"/>
            <w:gridSpan w:val="2"/>
            <w:noWrap/>
            <w:vAlign w:val="bottom"/>
            <w:hideMark/>
          </w:tcPr>
          <w:p w14:paraId="64110CB8"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20</w:t>
            </w:r>
          </w:p>
        </w:tc>
        <w:tc>
          <w:tcPr>
            <w:tcW w:w="1280" w:type="dxa"/>
            <w:noWrap/>
            <w:vAlign w:val="bottom"/>
            <w:hideMark/>
          </w:tcPr>
          <w:p w14:paraId="7D21DDA9"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2</w:t>
            </w:r>
          </w:p>
        </w:tc>
        <w:tc>
          <w:tcPr>
            <w:tcW w:w="720" w:type="dxa"/>
            <w:noWrap/>
            <w:vAlign w:val="bottom"/>
            <w:hideMark/>
          </w:tcPr>
          <w:p w14:paraId="17418F0A"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11</w:t>
            </w:r>
          </w:p>
        </w:tc>
        <w:tc>
          <w:tcPr>
            <w:tcW w:w="3268" w:type="dxa"/>
            <w:noWrap/>
            <w:vAlign w:val="bottom"/>
            <w:hideMark/>
          </w:tcPr>
          <w:p w14:paraId="491922A9"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89.1 (20.2-393), &lt;0.0001, 5.93</w:t>
            </w:r>
          </w:p>
        </w:tc>
        <w:tc>
          <w:tcPr>
            <w:tcW w:w="3364" w:type="dxa"/>
            <w:noWrap/>
            <w:vAlign w:val="bottom"/>
            <w:hideMark/>
          </w:tcPr>
          <w:p w14:paraId="645397CA"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16.2 (7.32-35.9), &lt;0.0001, 6.87</w:t>
            </w:r>
          </w:p>
        </w:tc>
      </w:tr>
      <w:tr w:rsidR="00DE48E0" w:rsidRPr="00CF3785" w14:paraId="542E4AC6" w14:textId="77777777" w:rsidTr="001A3690">
        <w:trPr>
          <w:trHeight w:val="320"/>
        </w:trPr>
        <w:tc>
          <w:tcPr>
            <w:tcW w:w="3330" w:type="dxa"/>
            <w:noWrap/>
            <w:vAlign w:val="bottom"/>
            <w:hideMark/>
          </w:tcPr>
          <w:p w14:paraId="0ACE70D3" w14:textId="772D7039"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Tick-borne viral encephalitis</w:t>
            </w:r>
          </w:p>
        </w:tc>
        <w:tc>
          <w:tcPr>
            <w:tcW w:w="1027" w:type="dxa"/>
            <w:gridSpan w:val="2"/>
            <w:noWrap/>
            <w:vAlign w:val="bottom"/>
            <w:hideMark/>
          </w:tcPr>
          <w:p w14:paraId="2CCAFC96"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8</w:t>
            </w:r>
          </w:p>
        </w:tc>
        <w:tc>
          <w:tcPr>
            <w:tcW w:w="1280" w:type="dxa"/>
            <w:noWrap/>
            <w:vAlign w:val="bottom"/>
            <w:hideMark/>
          </w:tcPr>
          <w:p w14:paraId="0248C73C"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w:t>
            </w:r>
          </w:p>
        </w:tc>
        <w:tc>
          <w:tcPr>
            <w:tcW w:w="720" w:type="dxa"/>
            <w:noWrap/>
            <w:vAlign w:val="bottom"/>
            <w:hideMark/>
          </w:tcPr>
          <w:p w14:paraId="3D0FF9E0"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13</w:t>
            </w:r>
          </w:p>
        </w:tc>
        <w:tc>
          <w:tcPr>
            <w:tcW w:w="3268" w:type="dxa"/>
            <w:noWrap/>
            <w:vAlign w:val="bottom"/>
            <w:hideMark/>
          </w:tcPr>
          <w:p w14:paraId="28F1DF3E"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88.4 (10.8-726), &lt;0.0001, 4.17</w:t>
            </w:r>
          </w:p>
        </w:tc>
        <w:tc>
          <w:tcPr>
            <w:tcW w:w="3364" w:type="dxa"/>
            <w:noWrap/>
            <w:vAlign w:val="bottom"/>
            <w:hideMark/>
          </w:tcPr>
          <w:p w14:paraId="620E2856"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5.49 (2.16-13.9), &lt;0.0003, 3.58</w:t>
            </w:r>
          </w:p>
        </w:tc>
      </w:tr>
      <w:tr w:rsidR="00DE48E0" w:rsidRPr="00CF3785" w14:paraId="3934A949" w14:textId="77777777" w:rsidTr="001A525C">
        <w:trPr>
          <w:trHeight w:val="320"/>
        </w:trPr>
        <w:tc>
          <w:tcPr>
            <w:tcW w:w="3330" w:type="dxa"/>
            <w:tcBorders>
              <w:bottom w:val="single" w:sz="4" w:space="0" w:color="auto"/>
            </w:tcBorders>
            <w:noWrap/>
            <w:vAlign w:val="bottom"/>
            <w:hideMark/>
          </w:tcPr>
          <w:p w14:paraId="0EF77E7A" w14:textId="4534930E" w:rsidR="00DE48E0" w:rsidRPr="005F49CE" w:rsidRDefault="00DE48E0" w:rsidP="00893323">
            <w:pPr>
              <w:rPr>
                <w:rFonts w:asciiTheme="minorHAnsi" w:hAnsiTheme="minorHAnsi" w:cstheme="minorHAnsi"/>
                <w:color w:val="000000" w:themeColor="text1"/>
              </w:rPr>
            </w:pPr>
            <w:r w:rsidRPr="003A0B8D">
              <w:rPr>
                <w:rFonts w:asciiTheme="minorHAnsi" w:hAnsiTheme="minorHAnsi" w:cstheme="minorHAnsi"/>
                <w:color w:val="000000"/>
              </w:rPr>
              <w:t>Toxic encephalopathy</w:t>
            </w:r>
          </w:p>
        </w:tc>
        <w:tc>
          <w:tcPr>
            <w:tcW w:w="1027" w:type="dxa"/>
            <w:gridSpan w:val="2"/>
            <w:tcBorders>
              <w:bottom w:val="single" w:sz="4" w:space="0" w:color="auto"/>
            </w:tcBorders>
            <w:noWrap/>
            <w:vAlign w:val="bottom"/>
            <w:hideMark/>
          </w:tcPr>
          <w:p w14:paraId="47BBBB0D"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123</w:t>
            </w:r>
          </w:p>
        </w:tc>
        <w:tc>
          <w:tcPr>
            <w:tcW w:w="1280" w:type="dxa"/>
            <w:tcBorders>
              <w:bottom w:val="single" w:sz="4" w:space="0" w:color="auto"/>
            </w:tcBorders>
            <w:noWrap/>
            <w:vAlign w:val="bottom"/>
            <w:hideMark/>
          </w:tcPr>
          <w:p w14:paraId="0803CC6D"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7</w:t>
            </w:r>
          </w:p>
        </w:tc>
        <w:tc>
          <w:tcPr>
            <w:tcW w:w="720" w:type="dxa"/>
            <w:tcBorders>
              <w:bottom w:val="single" w:sz="4" w:space="0" w:color="auto"/>
            </w:tcBorders>
            <w:noWrap/>
            <w:vAlign w:val="bottom"/>
            <w:hideMark/>
          </w:tcPr>
          <w:p w14:paraId="14C617E4" w14:textId="77777777" w:rsidR="00DE48E0" w:rsidRPr="005F49CE" w:rsidRDefault="00DE48E0" w:rsidP="00893323">
            <w:pPr>
              <w:jc w:val="right"/>
              <w:rPr>
                <w:rFonts w:asciiTheme="minorHAnsi" w:hAnsiTheme="minorHAnsi" w:cstheme="minorHAnsi"/>
                <w:color w:val="000000" w:themeColor="text1"/>
              </w:rPr>
            </w:pPr>
            <w:r w:rsidRPr="003A0B8D">
              <w:rPr>
                <w:rFonts w:asciiTheme="minorHAnsi" w:hAnsiTheme="minorHAnsi" w:cstheme="minorHAnsi"/>
                <w:color w:val="000000"/>
              </w:rPr>
              <w:t>19</w:t>
            </w:r>
          </w:p>
        </w:tc>
        <w:tc>
          <w:tcPr>
            <w:tcW w:w="3268" w:type="dxa"/>
            <w:tcBorders>
              <w:bottom w:val="single" w:sz="4" w:space="0" w:color="auto"/>
            </w:tcBorders>
            <w:noWrap/>
            <w:vAlign w:val="bottom"/>
            <w:hideMark/>
          </w:tcPr>
          <w:p w14:paraId="0E8F3257"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157 (69.1-355), &lt;0.0001, 12.1</w:t>
            </w:r>
          </w:p>
        </w:tc>
        <w:tc>
          <w:tcPr>
            <w:tcW w:w="3364" w:type="dxa"/>
            <w:tcBorders>
              <w:bottom w:val="single" w:sz="4" w:space="0" w:color="auto"/>
            </w:tcBorders>
            <w:noWrap/>
            <w:vAlign w:val="bottom"/>
            <w:hideMark/>
          </w:tcPr>
          <w:p w14:paraId="268AE309" w14:textId="77777777" w:rsidR="00DE48E0" w:rsidRPr="005F49CE" w:rsidRDefault="00DE48E0" w:rsidP="00893323">
            <w:pPr>
              <w:jc w:val="center"/>
              <w:rPr>
                <w:rFonts w:asciiTheme="minorHAnsi" w:hAnsiTheme="minorHAnsi" w:cstheme="minorHAnsi"/>
                <w:color w:val="000000" w:themeColor="text1"/>
              </w:rPr>
            </w:pPr>
            <w:r w:rsidRPr="003A0B8D">
              <w:rPr>
                <w:rFonts w:asciiTheme="minorHAnsi" w:hAnsiTheme="minorHAnsi" w:cstheme="minorHAnsi"/>
                <w:color w:val="000000"/>
              </w:rPr>
              <w:t>57.7 (32.7-102), &lt;0.0001, 14.0</w:t>
            </w:r>
          </w:p>
        </w:tc>
      </w:tr>
      <w:tr w:rsidR="00DE48E0" w:rsidRPr="00CF3785" w14:paraId="1C14578D" w14:textId="77777777" w:rsidTr="001A525C">
        <w:trPr>
          <w:trHeight w:val="320"/>
        </w:trPr>
        <w:tc>
          <w:tcPr>
            <w:tcW w:w="3330" w:type="dxa"/>
            <w:tcBorders>
              <w:bottom w:val="single" w:sz="4" w:space="0" w:color="auto"/>
            </w:tcBorders>
            <w:noWrap/>
            <w:vAlign w:val="bottom"/>
            <w:hideMark/>
          </w:tcPr>
          <w:p w14:paraId="344F2744" w14:textId="60DA0DF3" w:rsidR="00DE48E0" w:rsidRPr="001A3690" w:rsidRDefault="00DE48E0" w:rsidP="00893323">
            <w:pPr>
              <w:rPr>
                <w:rFonts w:asciiTheme="minorHAnsi" w:hAnsiTheme="minorHAnsi" w:cstheme="minorHAnsi"/>
                <w:b/>
                <w:bCs/>
                <w:color w:val="000000" w:themeColor="text1"/>
              </w:rPr>
            </w:pPr>
            <w:r w:rsidRPr="001A3690">
              <w:rPr>
                <w:rFonts w:asciiTheme="minorHAnsi" w:hAnsiTheme="minorHAnsi" w:cstheme="minorHAnsi"/>
                <w:b/>
                <w:bCs/>
                <w:color w:val="000000" w:themeColor="text1"/>
              </w:rPr>
              <w:t xml:space="preserve">Total CNS Infection </w:t>
            </w:r>
          </w:p>
        </w:tc>
        <w:tc>
          <w:tcPr>
            <w:tcW w:w="1027" w:type="dxa"/>
            <w:gridSpan w:val="2"/>
            <w:tcBorders>
              <w:bottom w:val="single" w:sz="4" w:space="0" w:color="auto"/>
            </w:tcBorders>
            <w:noWrap/>
            <w:vAlign w:val="bottom"/>
            <w:hideMark/>
          </w:tcPr>
          <w:p w14:paraId="5BA23C0F" w14:textId="77777777" w:rsidR="00DE48E0" w:rsidRPr="001A3690" w:rsidRDefault="00DE48E0" w:rsidP="00893323">
            <w:pPr>
              <w:jc w:val="right"/>
              <w:rPr>
                <w:rFonts w:asciiTheme="minorHAnsi" w:hAnsiTheme="minorHAnsi" w:cstheme="minorHAnsi"/>
                <w:b/>
                <w:bCs/>
                <w:color w:val="000000" w:themeColor="text1"/>
              </w:rPr>
            </w:pPr>
            <w:r w:rsidRPr="001A3690">
              <w:rPr>
                <w:rFonts w:asciiTheme="minorHAnsi" w:hAnsiTheme="minorHAnsi" w:cstheme="minorHAnsi"/>
                <w:b/>
                <w:bCs/>
                <w:color w:val="000000" w:themeColor="text1"/>
              </w:rPr>
              <w:t>3044</w:t>
            </w:r>
          </w:p>
        </w:tc>
        <w:tc>
          <w:tcPr>
            <w:tcW w:w="1280" w:type="dxa"/>
            <w:tcBorders>
              <w:bottom w:val="single" w:sz="4" w:space="0" w:color="auto"/>
            </w:tcBorders>
            <w:noWrap/>
            <w:vAlign w:val="bottom"/>
            <w:hideMark/>
          </w:tcPr>
          <w:p w14:paraId="79E6FBEA" w14:textId="77777777" w:rsidR="00DE48E0" w:rsidRPr="001A3690" w:rsidRDefault="00DE48E0" w:rsidP="00893323">
            <w:pPr>
              <w:jc w:val="right"/>
              <w:rPr>
                <w:rFonts w:asciiTheme="minorHAnsi" w:hAnsiTheme="minorHAnsi" w:cstheme="minorHAnsi"/>
                <w:b/>
                <w:bCs/>
                <w:color w:val="000000" w:themeColor="text1"/>
              </w:rPr>
            </w:pPr>
            <w:r w:rsidRPr="001A3690">
              <w:rPr>
                <w:rFonts w:asciiTheme="minorHAnsi" w:hAnsiTheme="minorHAnsi" w:cstheme="minorHAnsi"/>
                <w:b/>
                <w:bCs/>
                <w:color w:val="000000" w:themeColor="text1"/>
              </w:rPr>
              <w:t>922</w:t>
            </w:r>
          </w:p>
        </w:tc>
        <w:tc>
          <w:tcPr>
            <w:tcW w:w="720" w:type="dxa"/>
            <w:tcBorders>
              <w:bottom w:val="single" w:sz="4" w:space="0" w:color="auto"/>
            </w:tcBorders>
            <w:noWrap/>
            <w:vAlign w:val="bottom"/>
            <w:hideMark/>
          </w:tcPr>
          <w:p w14:paraId="2D5B3280" w14:textId="77777777" w:rsidR="00DE48E0" w:rsidRPr="001A3690" w:rsidRDefault="00DE48E0" w:rsidP="00893323">
            <w:pPr>
              <w:jc w:val="right"/>
              <w:rPr>
                <w:rFonts w:asciiTheme="minorHAnsi" w:hAnsiTheme="minorHAnsi" w:cstheme="minorHAnsi"/>
                <w:b/>
                <w:bCs/>
                <w:color w:val="000000" w:themeColor="text1"/>
              </w:rPr>
            </w:pPr>
            <w:r w:rsidRPr="001A3690">
              <w:rPr>
                <w:rFonts w:asciiTheme="minorHAnsi" w:hAnsiTheme="minorHAnsi" w:cstheme="minorHAnsi"/>
                <w:b/>
                <w:bCs/>
                <w:color w:val="000000" w:themeColor="text1"/>
              </w:rPr>
              <w:t>6607</w:t>
            </w:r>
          </w:p>
        </w:tc>
        <w:tc>
          <w:tcPr>
            <w:tcW w:w="3268" w:type="dxa"/>
            <w:tcBorders>
              <w:bottom w:val="single" w:sz="4" w:space="0" w:color="auto"/>
            </w:tcBorders>
            <w:noWrap/>
            <w:vAlign w:val="bottom"/>
            <w:hideMark/>
          </w:tcPr>
          <w:p w14:paraId="1EAD20F5" w14:textId="77777777" w:rsidR="00DE48E0" w:rsidRPr="001A3690" w:rsidRDefault="00DE48E0" w:rsidP="00893323">
            <w:pPr>
              <w:jc w:val="center"/>
              <w:rPr>
                <w:rFonts w:asciiTheme="minorHAnsi" w:hAnsiTheme="minorHAnsi" w:cstheme="minorHAnsi"/>
                <w:b/>
                <w:bCs/>
                <w:color w:val="000000" w:themeColor="text1"/>
              </w:rPr>
            </w:pPr>
            <w:r w:rsidRPr="001A3690">
              <w:rPr>
                <w:rFonts w:asciiTheme="minorHAnsi" w:hAnsiTheme="minorHAnsi" w:cstheme="minorHAnsi"/>
                <w:b/>
                <w:bCs/>
                <w:color w:val="000000" w:themeColor="text1"/>
              </w:rPr>
              <w:t>29.4 (21.6-40.1), &lt;0.0001, 21.4</w:t>
            </w:r>
          </w:p>
        </w:tc>
        <w:tc>
          <w:tcPr>
            <w:tcW w:w="3364" w:type="dxa"/>
            <w:tcBorders>
              <w:bottom w:val="single" w:sz="4" w:space="0" w:color="auto"/>
            </w:tcBorders>
            <w:noWrap/>
            <w:vAlign w:val="bottom"/>
            <w:hideMark/>
          </w:tcPr>
          <w:p w14:paraId="72D62347" w14:textId="77777777" w:rsidR="00DE48E0" w:rsidRPr="001A3690" w:rsidRDefault="00DE48E0" w:rsidP="00893323">
            <w:pPr>
              <w:jc w:val="center"/>
              <w:rPr>
                <w:rFonts w:asciiTheme="minorHAnsi" w:hAnsiTheme="minorHAnsi" w:cstheme="minorHAnsi"/>
                <w:b/>
                <w:bCs/>
                <w:color w:val="000000" w:themeColor="text1"/>
              </w:rPr>
            </w:pPr>
            <w:r w:rsidRPr="001A3690">
              <w:rPr>
                <w:rFonts w:asciiTheme="minorHAnsi" w:hAnsiTheme="minorHAnsi" w:cstheme="minorHAnsi"/>
                <w:b/>
                <w:bCs/>
                <w:color w:val="000000" w:themeColor="text1"/>
              </w:rPr>
              <w:t>4.11 (3.03-5.57), &lt;0.0001, 9.09</w:t>
            </w:r>
          </w:p>
        </w:tc>
      </w:tr>
    </w:tbl>
    <w:p w14:paraId="39110022" w14:textId="77777777" w:rsidR="004616B4" w:rsidRPr="00CF3785" w:rsidRDefault="004616B4" w:rsidP="00045BC5">
      <w:pPr>
        <w:rPr>
          <w:color w:val="000000" w:themeColor="text1"/>
        </w:rPr>
      </w:pPr>
    </w:p>
    <w:p w14:paraId="01FDBECE" w14:textId="77777777" w:rsidR="004616B4" w:rsidRPr="00CF3785" w:rsidRDefault="004616B4" w:rsidP="00045BC5">
      <w:pPr>
        <w:rPr>
          <w:color w:val="000000" w:themeColor="text1"/>
        </w:rPr>
      </w:pPr>
    </w:p>
    <w:p w14:paraId="212D4B2C" w14:textId="77777777" w:rsidR="004616B4" w:rsidRPr="00CF3785" w:rsidRDefault="004616B4" w:rsidP="00045BC5">
      <w:pPr>
        <w:rPr>
          <w:color w:val="000000" w:themeColor="text1"/>
        </w:rPr>
      </w:pPr>
    </w:p>
    <w:p w14:paraId="63769188" w14:textId="77777777" w:rsidR="004616B4" w:rsidRPr="00CF3785" w:rsidRDefault="004616B4" w:rsidP="00045BC5">
      <w:pPr>
        <w:rPr>
          <w:color w:val="000000" w:themeColor="text1"/>
        </w:rPr>
      </w:pPr>
    </w:p>
    <w:p w14:paraId="605605D7" w14:textId="5543DE54" w:rsidR="004616B4" w:rsidRPr="00CF3785" w:rsidRDefault="00C565AF" w:rsidP="00045BC5">
      <w:pPr>
        <w:rPr>
          <w:color w:val="000000" w:themeColor="text1"/>
        </w:rPr>
      </w:pPr>
      <w:r>
        <w:t xml:space="preserve">Table 2. Herpetic Central Nervous System (CNS) Infections Reported to VAERS Following COVID-19 Vaccination Compared </w:t>
      </w:r>
      <w:proofErr w:type="gramStart"/>
      <w:r>
        <w:t>With</w:t>
      </w:r>
      <w:proofErr w:type="gramEnd"/>
      <w:r>
        <w:t xml:space="preserve"> Influenza and All Other Vaccines</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097"/>
        <w:gridCol w:w="1280"/>
        <w:gridCol w:w="673"/>
        <w:gridCol w:w="3260"/>
        <w:gridCol w:w="3405"/>
      </w:tblGrid>
      <w:tr w:rsidR="00CF3785" w:rsidRPr="00CF3785" w14:paraId="01EB18B4" w14:textId="77777777" w:rsidTr="00BD0483">
        <w:trPr>
          <w:trHeight w:val="320"/>
          <w:tblHeader/>
        </w:trPr>
        <w:tc>
          <w:tcPr>
            <w:tcW w:w="3235" w:type="dxa"/>
            <w:noWrap/>
            <w:vAlign w:val="bottom"/>
          </w:tcPr>
          <w:p w14:paraId="56C05D14" w14:textId="77777777" w:rsidR="00A44B35" w:rsidRPr="00CF3785" w:rsidRDefault="00A44B35" w:rsidP="00A44B35">
            <w:pPr>
              <w:rPr>
                <w:b/>
                <w:bCs/>
                <w:color w:val="000000" w:themeColor="text1"/>
              </w:rPr>
            </w:pPr>
          </w:p>
        </w:tc>
        <w:tc>
          <w:tcPr>
            <w:tcW w:w="1097" w:type="dxa"/>
            <w:vAlign w:val="bottom"/>
          </w:tcPr>
          <w:p w14:paraId="2CBFA328" w14:textId="62406736" w:rsidR="00A44B35" w:rsidRPr="00CF3785" w:rsidRDefault="00A44B35" w:rsidP="00A44B35">
            <w:pPr>
              <w:rPr>
                <w:b/>
                <w:bCs/>
                <w:color w:val="000000" w:themeColor="text1"/>
              </w:rPr>
            </w:pPr>
            <w:r w:rsidRPr="00CF3785">
              <w:rPr>
                <w:b/>
                <w:bCs/>
                <w:color w:val="000000" w:themeColor="text1"/>
              </w:rPr>
              <w:t xml:space="preserve">COVID </w:t>
            </w:r>
          </w:p>
        </w:tc>
        <w:tc>
          <w:tcPr>
            <w:tcW w:w="1280" w:type="dxa"/>
            <w:vAlign w:val="bottom"/>
          </w:tcPr>
          <w:p w14:paraId="293A0089" w14:textId="5BC47A6D" w:rsidR="00A44B35" w:rsidRPr="00CF3785" w:rsidRDefault="00A44B35" w:rsidP="00A44B35">
            <w:pPr>
              <w:rPr>
                <w:b/>
                <w:bCs/>
                <w:color w:val="000000" w:themeColor="text1"/>
              </w:rPr>
            </w:pPr>
            <w:r w:rsidRPr="00CF3785">
              <w:rPr>
                <w:b/>
                <w:bCs/>
                <w:color w:val="000000" w:themeColor="text1"/>
              </w:rPr>
              <w:t>Influenza</w:t>
            </w:r>
          </w:p>
        </w:tc>
        <w:tc>
          <w:tcPr>
            <w:tcW w:w="673" w:type="dxa"/>
            <w:tcBorders>
              <w:bottom w:val="single" w:sz="4" w:space="0" w:color="auto"/>
            </w:tcBorders>
            <w:noWrap/>
            <w:vAlign w:val="bottom"/>
          </w:tcPr>
          <w:p w14:paraId="31335D90" w14:textId="1B999273" w:rsidR="00A44B35" w:rsidRPr="00CF3785" w:rsidRDefault="00A44B35" w:rsidP="001A3690">
            <w:pPr>
              <w:jc w:val="center"/>
              <w:rPr>
                <w:b/>
                <w:bCs/>
                <w:color w:val="000000" w:themeColor="text1"/>
              </w:rPr>
            </w:pPr>
            <w:r w:rsidRPr="00CF3785">
              <w:rPr>
                <w:b/>
                <w:bCs/>
                <w:color w:val="000000" w:themeColor="text1"/>
              </w:rPr>
              <w:t>All Vax</w:t>
            </w:r>
          </w:p>
        </w:tc>
        <w:tc>
          <w:tcPr>
            <w:tcW w:w="3260" w:type="dxa"/>
            <w:tcBorders>
              <w:bottom w:val="single" w:sz="4" w:space="0" w:color="auto"/>
            </w:tcBorders>
            <w:noWrap/>
            <w:vAlign w:val="bottom"/>
          </w:tcPr>
          <w:p w14:paraId="6DAD3BE4" w14:textId="3336FFEF" w:rsidR="007023F7" w:rsidRDefault="00A44B35" w:rsidP="001A3690">
            <w:pPr>
              <w:jc w:val="center"/>
              <w:rPr>
                <w:b/>
                <w:bCs/>
                <w:color w:val="000000" w:themeColor="text1"/>
              </w:rPr>
            </w:pPr>
            <w:r w:rsidRPr="00CF3785">
              <w:rPr>
                <w:b/>
                <w:bCs/>
                <w:color w:val="000000" w:themeColor="text1"/>
              </w:rPr>
              <w:t xml:space="preserve">COVID vs Flu Vax </w:t>
            </w:r>
            <w:r w:rsidR="006A1E2E">
              <w:rPr>
                <w:b/>
                <w:bCs/>
                <w:color w:val="000000" w:themeColor="text1"/>
              </w:rPr>
              <w:t>OR</w:t>
            </w:r>
          </w:p>
          <w:p w14:paraId="0A321C4C" w14:textId="60054917" w:rsidR="007023F7" w:rsidRDefault="00A44B35" w:rsidP="001A3690">
            <w:pPr>
              <w:jc w:val="center"/>
              <w:rPr>
                <w:b/>
                <w:bCs/>
                <w:color w:val="000000" w:themeColor="text1"/>
              </w:rPr>
            </w:pPr>
            <w:r w:rsidRPr="00CF3785">
              <w:rPr>
                <w:b/>
                <w:bCs/>
                <w:color w:val="000000" w:themeColor="text1"/>
              </w:rPr>
              <w:t>(95% Confidence Interval),</w:t>
            </w:r>
          </w:p>
          <w:p w14:paraId="1A993654" w14:textId="45D1EC52" w:rsidR="00A44B35" w:rsidRPr="00CF3785" w:rsidRDefault="00A44B35" w:rsidP="001A3690">
            <w:pPr>
              <w:jc w:val="center"/>
              <w:rPr>
                <w:color w:val="000000" w:themeColor="text1"/>
                <w:sz w:val="20"/>
                <w:szCs w:val="20"/>
              </w:rPr>
            </w:pPr>
            <w:r w:rsidRPr="00CF3785">
              <w:rPr>
                <w:b/>
                <w:bCs/>
                <w:color w:val="000000" w:themeColor="text1"/>
              </w:rPr>
              <w:t>P Value, Z</w:t>
            </w:r>
            <w:r w:rsidR="00214F21">
              <w:rPr>
                <w:b/>
                <w:bCs/>
                <w:color w:val="000000" w:themeColor="text1"/>
              </w:rPr>
              <w:t>-Score</w:t>
            </w:r>
          </w:p>
        </w:tc>
        <w:tc>
          <w:tcPr>
            <w:tcW w:w="3405" w:type="dxa"/>
            <w:tcBorders>
              <w:bottom w:val="single" w:sz="4" w:space="0" w:color="auto"/>
            </w:tcBorders>
            <w:noWrap/>
            <w:vAlign w:val="bottom"/>
          </w:tcPr>
          <w:p w14:paraId="60BDA0F8" w14:textId="3CBA2DBD" w:rsidR="007023F7" w:rsidRDefault="00A44B35" w:rsidP="001A3690">
            <w:pPr>
              <w:jc w:val="center"/>
              <w:rPr>
                <w:b/>
                <w:bCs/>
                <w:color w:val="000000" w:themeColor="text1"/>
              </w:rPr>
            </w:pPr>
            <w:r w:rsidRPr="00CF3785">
              <w:rPr>
                <w:b/>
                <w:bCs/>
                <w:color w:val="000000" w:themeColor="text1"/>
              </w:rPr>
              <w:t xml:space="preserve">COVID vs All Vax </w:t>
            </w:r>
            <w:r w:rsidR="006A1E2E">
              <w:rPr>
                <w:b/>
                <w:bCs/>
                <w:color w:val="000000" w:themeColor="text1"/>
              </w:rPr>
              <w:t>OR</w:t>
            </w:r>
          </w:p>
          <w:p w14:paraId="113EA916" w14:textId="4D798041" w:rsidR="007023F7" w:rsidRDefault="00A44B35" w:rsidP="001A3690">
            <w:pPr>
              <w:jc w:val="center"/>
              <w:rPr>
                <w:b/>
                <w:bCs/>
                <w:color w:val="000000" w:themeColor="text1"/>
              </w:rPr>
            </w:pPr>
            <w:r w:rsidRPr="00CF3785">
              <w:rPr>
                <w:b/>
                <w:bCs/>
                <w:color w:val="000000" w:themeColor="text1"/>
              </w:rPr>
              <w:t>(95% Confidence Interval),</w:t>
            </w:r>
          </w:p>
          <w:p w14:paraId="02C60644" w14:textId="493A1A39" w:rsidR="00A44B35" w:rsidRPr="00CF3785" w:rsidRDefault="00A44B35" w:rsidP="001A3690">
            <w:pPr>
              <w:jc w:val="center"/>
              <w:rPr>
                <w:color w:val="000000" w:themeColor="text1"/>
                <w:sz w:val="20"/>
                <w:szCs w:val="20"/>
              </w:rPr>
            </w:pPr>
            <w:r w:rsidRPr="00CF3785">
              <w:rPr>
                <w:b/>
                <w:bCs/>
                <w:color w:val="000000" w:themeColor="text1"/>
              </w:rPr>
              <w:t>P Value, Z</w:t>
            </w:r>
            <w:r w:rsidR="00214F21">
              <w:rPr>
                <w:b/>
                <w:bCs/>
                <w:color w:val="000000" w:themeColor="text1"/>
              </w:rPr>
              <w:t>-Score</w:t>
            </w:r>
          </w:p>
        </w:tc>
      </w:tr>
      <w:tr w:rsidR="00CF3785" w:rsidRPr="00CF3785" w14:paraId="6D2F990E" w14:textId="77777777" w:rsidTr="00BD0483">
        <w:trPr>
          <w:trHeight w:val="320"/>
        </w:trPr>
        <w:tc>
          <w:tcPr>
            <w:tcW w:w="5612" w:type="dxa"/>
            <w:gridSpan w:val="3"/>
            <w:tcBorders>
              <w:right w:val="nil"/>
            </w:tcBorders>
            <w:noWrap/>
            <w:vAlign w:val="bottom"/>
            <w:hideMark/>
          </w:tcPr>
          <w:p w14:paraId="17F9A354" w14:textId="2666A97C" w:rsidR="00A44B35" w:rsidRPr="00CF3785" w:rsidRDefault="006D727D" w:rsidP="00A44B35">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Herpetic CNS </w:t>
            </w:r>
            <w:r w:rsidR="007023F7">
              <w:rPr>
                <w:rFonts w:asciiTheme="minorHAnsi" w:hAnsiTheme="minorHAnsi" w:cstheme="minorHAnsi"/>
                <w:b/>
                <w:bCs/>
                <w:color w:val="000000" w:themeColor="text1"/>
              </w:rPr>
              <w:t>I</w:t>
            </w:r>
            <w:r>
              <w:rPr>
                <w:rFonts w:asciiTheme="minorHAnsi" w:hAnsiTheme="minorHAnsi" w:cstheme="minorHAnsi"/>
                <w:b/>
                <w:bCs/>
                <w:color w:val="000000" w:themeColor="text1"/>
              </w:rPr>
              <w:t>nfection</w:t>
            </w:r>
            <w:r w:rsidR="00A44B35" w:rsidRPr="00CF3785">
              <w:rPr>
                <w:rFonts w:asciiTheme="minorHAnsi" w:hAnsiTheme="minorHAnsi" w:cstheme="minorHAnsi"/>
                <w:b/>
                <w:bCs/>
                <w:color w:val="000000" w:themeColor="text1"/>
              </w:rPr>
              <w:t xml:space="preserve"> </w:t>
            </w:r>
          </w:p>
        </w:tc>
        <w:tc>
          <w:tcPr>
            <w:tcW w:w="673" w:type="dxa"/>
            <w:tcBorders>
              <w:left w:val="nil"/>
              <w:right w:val="nil"/>
            </w:tcBorders>
            <w:noWrap/>
            <w:vAlign w:val="bottom"/>
            <w:hideMark/>
          </w:tcPr>
          <w:p w14:paraId="5EFB7E38" w14:textId="77777777" w:rsidR="00A44B35" w:rsidRPr="00CF3785" w:rsidRDefault="00A44B35" w:rsidP="00A44B35">
            <w:pPr>
              <w:rPr>
                <w:rFonts w:asciiTheme="minorHAnsi" w:hAnsiTheme="minorHAnsi" w:cstheme="minorHAnsi"/>
                <w:b/>
                <w:bCs/>
                <w:color w:val="000000" w:themeColor="text1"/>
              </w:rPr>
            </w:pPr>
          </w:p>
        </w:tc>
        <w:tc>
          <w:tcPr>
            <w:tcW w:w="3260" w:type="dxa"/>
            <w:tcBorders>
              <w:left w:val="nil"/>
              <w:right w:val="nil"/>
            </w:tcBorders>
            <w:noWrap/>
            <w:vAlign w:val="bottom"/>
            <w:hideMark/>
          </w:tcPr>
          <w:p w14:paraId="712606BA" w14:textId="77777777" w:rsidR="00A44B35" w:rsidRPr="00CF3785" w:rsidRDefault="00A44B35" w:rsidP="00A44B35">
            <w:pPr>
              <w:rPr>
                <w:rFonts w:asciiTheme="minorHAnsi" w:hAnsiTheme="minorHAnsi" w:cstheme="minorHAnsi"/>
                <w:color w:val="000000" w:themeColor="text1"/>
                <w:sz w:val="20"/>
                <w:szCs w:val="20"/>
              </w:rPr>
            </w:pPr>
          </w:p>
        </w:tc>
        <w:tc>
          <w:tcPr>
            <w:tcW w:w="3405" w:type="dxa"/>
            <w:tcBorders>
              <w:left w:val="nil"/>
            </w:tcBorders>
            <w:noWrap/>
            <w:vAlign w:val="bottom"/>
            <w:hideMark/>
          </w:tcPr>
          <w:p w14:paraId="5ADD0C59" w14:textId="77777777" w:rsidR="00A44B35" w:rsidRPr="00CF3785" w:rsidRDefault="00A44B35" w:rsidP="00A44B35">
            <w:pPr>
              <w:rPr>
                <w:rFonts w:asciiTheme="minorHAnsi" w:hAnsiTheme="minorHAnsi" w:cstheme="minorHAnsi"/>
                <w:color w:val="000000" w:themeColor="text1"/>
                <w:sz w:val="20"/>
                <w:szCs w:val="20"/>
              </w:rPr>
            </w:pPr>
          </w:p>
        </w:tc>
      </w:tr>
      <w:tr w:rsidR="005F49CE" w:rsidRPr="00CF3785" w14:paraId="79E6D9AD" w14:textId="77777777" w:rsidTr="00CF3785">
        <w:trPr>
          <w:trHeight w:val="320"/>
        </w:trPr>
        <w:tc>
          <w:tcPr>
            <w:tcW w:w="3235" w:type="dxa"/>
            <w:noWrap/>
            <w:vAlign w:val="bottom"/>
            <w:hideMark/>
          </w:tcPr>
          <w:p w14:paraId="560FAF69" w14:textId="0A081385" w:rsidR="005F49CE" w:rsidRPr="00DE48E0" w:rsidRDefault="005F49CE" w:rsidP="00F346F5">
            <w:pPr>
              <w:rPr>
                <w:rFonts w:asciiTheme="minorHAnsi" w:eastAsiaTheme="minorHAnsi" w:hAnsiTheme="minorHAnsi" w:cstheme="minorHAnsi"/>
                <w:color w:val="000000"/>
                <w:kern w:val="2"/>
                <w14:ligatures w14:val="standardContextual"/>
              </w:rPr>
            </w:pPr>
            <w:r w:rsidRPr="00DE48E0">
              <w:rPr>
                <w:rFonts w:asciiTheme="minorHAnsi" w:eastAsiaTheme="minorHAnsi" w:hAnsiTheme="minorHAnsi" w:cstheme="minorHAnsi"/>
                <w:color w:val="000000"/>
                <w:kern w:val="2"/>
                <w14:ligatures w14:val="standardContextual"/>
              </w:rPr>
              <w:t>Herpes simplex encephalitis</w:t>
            </w:r>
          </w:p>
        </w:tc>
        <w:tc>
          <w:tcPr>
            <w:tcW w:w="1097" w:type="dxa"/>
            <w:noWrap/>
            <w:vAlign w:val="bottom"/>
            <w:hideMark/>
          </w:tcPr>
          <w:p w14:paraId="32C93C9E" w14:textId="1E55A849"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34</w:t>
            </w:r>
          </w:p>
        </w:tc>
        <w:tc>
          <w:tcPr>
            <w:tcW w:w="1280" w:type="dxa"/>
            <w:noWrap/>
            <w:vAlign w:val="bottom"/>
            <w:hideMark/>
          </w:tcPr>
          <w:p w14:paraId="6D273B55" w14:textId="5725B775"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7</w:t>
            </w:r>
          </w:p>
        </w:tc>
        <w:tc>
          <w:tcPr>
            <w:tcW w:w="673" w:type="dxa"/>
            <w:noWrap/>
            <w:vAlign w:val="bottom"/>
            <w:hideMark/>
          </w:tcPr>
          <w:p w14:paraId="151C2617" w14:textId="5CFBF385"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15</w:t>
            </w:r>
          </w:p>
        </w:tc>
        <w:tc>
          <w:tcPr>
            <w:tcW w:w="3260" w:type="dxa"/>
            <w:noWrap/>
            <w:vAlign w:val="bottom"/>
            <w:hideMark/>
          </w:tcPr>
          <w:p w14:paraId="73EDFDB8" w14:textId="48BA245C"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43.3 (18.2_103), &lt;0.0001, 8.51</w:t>
            </w:r>
          </w:p>
        </w:tc>
        <w:tc>
          <w:tcPr>
            <w:tcW w:w="3405" w:type="dxa"/>
            <w:noWrap/>
            <w:vAlign w:val="bottom"/>
            <w:hideMark/>
          </w:tcPr>
          <w:p w14:paraId="0C2B72FC" w14:textId="4BCA0A56"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20.2 (10.3-39.8), &lt;0.0001, 8.69</w:t>
            </w:r>
          </w:p>
        </w:tc>
      </w:tr>
      <w:tr w:rsidR="005F49CE" w:rsidRPr="00CF3785" w14:paraId="56514A6F" w14:textId="77777777" w:rsidTr="00CF3785">
        <w:trPr>
          <w:trHeight w:val="320"/>
        </w:trPr>
        <w:tc>
          <w:tcPr>
            <w:tcW w:w="3235" w:type="dxa"/>
            <w:noWrap/>
            <w:vAlign w:val="bottom"/>
            <w:hideMark/>
          </w:tcPr>
          <w:p w14:paraId="2839C187" w14:textId="10D95D47" w:rsidR="005F49CE" w:rsidRPr="00DE48E0" w:rsidRDefault="005F49CE" w:rsidP="005F49CE">
            <w:pPr>
              <w:rPr>
                <w:rFonts w:asciiTheme="minorHAnsi" w:eastAsiaTheme="minorHAnsi" w:hAnsiTheme="minorHAnsi" w:cstheme="minorHAnsi"/>
                <w:color w:val="000000"/>
                <w:kern w:val="2"/>
                <w14:ligatures w14:val="standardContextual"/>
              </w:rPr>
            </w:pPr>
            <w:r w:rsidRPr="00DE48E0">
              <w:rPr>
                <w:rFonts w:asciiTheme="minorHAnsi" w:eastAsiaTheme="minorHAnsi" w:hAnsiTheme="minorHAnsi" w:cstheme="minorHAnsi"/>
                <w:color w:val="000000"/>
                <w:kern w:val="2"/>
                <w14:ligatures w14:val="standardContextual"/>
              </w:rPr>
              <w:t>Herpes simplex meningitis</w:t>
            </w:r>
          </w:p>
        </w:tc>
        <w:tc>
          <w:tcPr>
            <w:tcW w:w="1097" w:type="dxa"/>
            <w:noWrap/>
            <w:vAlign w:val="bottom"/>
            <w:hideMark/>
          </w:tcPr>
          <w:p w14:paraId="4AC21F4D" w14:textId="6921DBC7"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7</w:t>
            </w:r>
          </w:p>
        </w:tc>
        <w:tc>
          <w:tcPr>
            <w:tcW w:w="1280" w:type="dxa"/>
            <w:noWrap/>
            <w:vAlign w:val="bottom"/>
            <w:hideMark/>
          </w:tcPr>
          <w:p w14:paraId="14379CD9" w14:textId="52F9538F"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673" w:type="dxa"/>
            <w:noWrap/>
            <w:vAlign w:val="bottom"/>
            <w:hideMark/>
          </w:tcPr>
          <w:p w14:paraId="3488FC70" w14:textId="42076EDD"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2</w:t>
            </w:r>
          </w:p>
        </w:tc>
        <w:tc>
          <w:tcPr>
            <w:tcW w:w="3260" w:type="dxa"/>
            <w:noWrap/>
            <w:vAlign w:val="bottom"/>
            <w:hideMark/>
          </w:tcPr>
          <w:p w14:paraId="064912BB" w14:textId="3234ECED"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132 (7.45-2360), =0.0009, 3.33</w:t>
            </w:r>
          </w:p>
        </w:tc>
        <w:tc>
          <w:tcPr>
            <w:tcW w:w="3405" w:type="dxa"/>
            <w:noWrap/>
            <w:vAlign w:val="bottom"/>
            <w:hideMark/>
          </w:tcPr>
          <w:p w14:paraId="3C6052B2" w14:textId="3372155E"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31.2 (6.30-155), &lt;0.0001, 4.21</w:t>
            </w:r>
          </w:p>
        </w:tc>
      </w:tr>
      <w:tr w:rsidR="005F49CE" w:rsidRPr="00CF3785" w14:paraId="2FFDE038" w14:textId="77777777" w:rsidTr="00CF3785">
        <w:trPr>
          <w:trHeight w:val="320"/>
        </w:trPr>
        <w:tc>
          <w:tcPr>
            <w:tcW w:w="3235" w:type="dxa"/>
            <w:noWrap/>
            <w:vAlign w:val="bottom"/>
            <w:hideMark/>
          </w:tcPr>
          <w:p w14:paraId="07A16104" w14:textId="2D863308" w:rsidR="005F49CE" w:rsidRPr="00DE48E0" w:rsidRDefault="005F49CE" w:rsidP="005F49CE">
            <w:pPr>
              <w:rPr>
                <w:rFonts w:asciiTheme="minorHAnsi" w:eastAsiaTheme="minorHAnsi" w:hAnsiTheme="minorHAnsi" w:cstheme="minorHAnsi"/>
                <w:color w:val="000000"/>
                <w:kern w:val="2"/>
                <w14:ligatures w14:val="standardContextual"/>
              </w:rPr>
            </w:pPr>
            <w:r w:rsidRPr="00DE48E0">
              <w:rPr>
                <w:rFonts w:asciiTheme="minorHAnsi" w:eastAsiaTheme="minorHAnsi" w:hAnsiTheme="minorHAnsi" w:cstheme="minorHAnsi"/>
                <w:color w:val="000000"/>
                <w:kern w:val="2"/>
                <w14:ligatures w14:val="standardContextual"/>
              </w:rPr>
              <w:t>Herpes simplex meningoencephalitis</w:t>
            </w:r>
          </w:p>
        </w:tc>
        <w:tc>
          <w:tcPr>
            <w:tcW w:w="1097" w:type="dxa"/>
            <w:noWrap/>
            <w:vAlign w:val="bottom"/>
            <w:hideMark/>
          </w:tcPr>
          <w:p w14:paraId="55137E04" w14:textId="0B8A4842"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5</w:t>
            </w:r>
          </w:p>
        </w:tc>
        <w:tc>
          <w:tcPr>
            <w:tcW w:w="1280" w:type="dxa"/>
            <w:noWrap/>
            <w:vAlign w:val="bottom"/>
            <w:hideMark/>
          </w:tcPr>
          <w:p w14:paraId="67D635B2" w14:textId="5302BB41"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673" w:type="dxa"/>
            <w:noWrap/>
            <w:vAlign w:val="bottom"/>
            <w:hideMark/>
          </w:tcPr>
          <w:p w14:paraId="1FD6CA21" w14:textId="2AD69E0E"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2</w:t>
            </w:r>
          </w:p>
        </w:tc>
        <w:tc>
          <w:tcPr>
            <w:tcW w:w="3260" w:type="dxa"/>
            <w:noWrap/>
            <w:vAlign w:val="bottom"/>
            <w:hideMark/>
          </w:tcPr>
          <w:p w14:paraId="0E150D03" w14:textId="0CB6A9DF"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120 (6.52-2210), =0.0013, 3.22</w:t>
            </w:r>
          </w:p>
        </w:tc>
        <w:tc>
          <w:tcPr>
            <w:tcW w:w="3405" w:type="dxa"/>
            <w:noWrap/>
            <w:vAlign w:val="bottom"/>
            <w:hideMark/>
          </w:tcPr>
          <w:p w14:paraId="58A0E855" w14:textId="569F7E3E"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27.6 (5.18-147), =0.0001, 3.89</w:t>
            </w:r>
          </w:p>
        </w:tc>
      </w:tr>
      <w:tr w:rsidR="005F49CE" w:rsidRPr="00CF3785" w14:paraId="52B7BD09" w14:textId="77777777" w:rsidTr="00CF3785">
        <w:trPr>
          <w:trHeight w:val="320"/>
        </w:trPr>
        <w:tc>
          <w:tcPr>
            <w:tcW w:w="3235" w:type="dxa"/>
            <w:noWrap/>
            <w:vAlign w:val="bottom"/>
            <w:hideMark/>
          </w:tcPr>
          <w:p w14:paraId="398F87EE" w14:textId="404FB9DE" w:rsidR="005F49CE" w:rsidRPr="00DE48E0" w:rsidRDefault="005F49CE" w:rsidP="00F346F5">
            <w:pPr>
              <w:rPr>
                <w:rFonts w:asciiTheme="minorHAnsi" w:eastAsiaTheme="minorHAnsi" w:hAnsiTheme="minorHAnsi" w:cstheme="minorHAnsi"/>
                <w:color w:val="000000"/>
                <w:kern w:val="2"/>
                <w14:ligatures w14:val="standardContextual"/>
              </w:rPr>
            </w:pPr>
            <w:r w:rsidRPr="00DE48E0">
              <w:rPr>
                <w:rFonts w:asciiTheme="minorHAnsi" w:eastAsiaTheme="minorHAnsi" w:hAnsiTheme="minorHAnsi" w:cstheme="minorHAnsi"/>
                <w:color w:val="000000"/>
                <w:kern w:val="2"/>
                <w14:ligatures w14:val="standardContextual"/>
              </w:rPr>
              <w:t>Herpes zoster infection neurological</w:t>
            </w:r>
          </w:p>
        </w:tc>
        <w:tc>
          <w:tcPr>
            <w:tcW w:w="1097" w:type="dxa"/>
            <w:noWrap/>
            <w:vAlign w:val="bottom"/>
            <w:hideMark/>
          </w:tcPr>
          <w:p w14:paraId="525E8928" w14:textId="4882A9A9"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38</w:t>
            </w:r>
          </w:p>
        </w:tc>
        <w:tc>
          <w:tcPr>
            <w:tcW w:w="1280" w:type="dxa"/>
            <w:noWrap/>
            <w:vAlign w:val="bottom"/>
            <w:hideMark/>
          </w:tcPr>
          <w:p w14:paraId="0FC09941" w14:textId="42B73B28"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673" w:type="dxa"/>
            <w:noWrap/>
            <w:vAlign w:val="bottom"/>
            <w:hideMark/>
          </w:tcPr>
          <w:p w14:paraId="6AC3FE4B" w14:textId="700F7C22"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12</w:t>
            </w:r>
          </w:p>
        </w:tc>
        <w:tc>
          <w:tcPr>
            <w:tcW w:w="3260" w:type="dxa"/>
            <w:noWrap/>
            <w:vAlign w:val="bottom"/>
            <w:hideMark/>
          </w:tcPr>
          <w:p w14:paraId="7BFF7F79" w14:textId="31B3BE25"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680 (41.1-11200), &lt;0.0001, 4.56</w:t>
            </w:r>
          </w:p>
        </w:tc>
        <w:tc>
          <w:tcPr>
            <w:tcW w:w="3405" w:type="dxa"/>
            <w:noWrap/>
            <w:vAlign w:val="bottom"/>
            <w:hideMark/>
          </w:tcPr>
          <w:p w14:paraId="13CA4B4E" w14:textId="360FC697"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28.2 (13.8-57.7), &lt;0.0001, 9.15</w:t>
            </w:r>
          </w:p>
        </w:tc>
      </w:tr>
      <w:tr w:rsidR="005F49CE" w:rsidRPr="00CF3785" w14:paraId="2C4DFAED" w14:textId="77777777" w:rsidTr="00CF3785">
        <w:trPr>
          <w:trHeight w:val="320"/>
        </w:trPr>
        <w:tc>
          <w:tcPr>
            <w:tcW w:w="3235" w:type="dxa"/>
            <w:noWrap/>
            <w:vAlign w:val="bottom"/>
            <w:hideMark/>
          </w:tcPr>
          <w:p w14:paraId="6DDBE9F8" w14:textId="4D9A556F" w:rsidR="005F49CE" w:rsidRPr="00DE48E0" w:rsidRDefault="005F49CE" w:rsidP="00F346F5">
            <w:pPr>
              <w:rPr>
                <w:rFonts w:asciiTheme="minorHAnsi" w:eastAsiaTheme="minorHAnsi" w:hAnsiTheme="minorHAnsi" w:cstheme="minorHAnsi"/>
                <w:color w:val="000000"/>
                <w:kern w:val="2"/>
                <w14:ligatures w14:val="standardContextual"/>
              </w:rPr>
            </w:pPr>
            <w:r w:rsidRPr="00DE48E0">
              <w:rPr>
                <w:rFonts w:asciiTheme="minorHAnsi" w:eastAsiaTheme="minorHAnsi" w:hAnsiTheme="minorHAnsi" w:cstheme="minorHAnsi"/>
                <w:color w:val="000000"/>
                <w:kern w:val="2"/>
                <w14:ligatures w14:val="standardContextual"/>
              </w:rPr>
              <w:t>Herpes zoster meningitis</w:t>
            </w:r>
          </w:p>
        </w:tc>
        <w:tc>
          <w:tcPr>
            <w:tcW w:w="1097" w:type="dxa"/>
            <w:noWrap/>
            <w:vAlign w:val="bottom"/>
            <w:hideMark/>
          </w:tcPr>
          <w:p w14:paraId="28ABB7EC" w14:textId="12864E74"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71</w:t>
            </w:r>
          </w:p>
        </w:tc>
        <w:tc>
          <w:tcPr>
            <w:tcW w:w="1280" w:type="dxa"/>
            <w:noWrap/>
            <w:vAlign w:val="bottom"/>
            <w:hideMark/>
          </w:tcPr>
          <w:p w14:paraId="5EBB90B4" w14:textId="0598F598"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673" w:type="dxa"/>
            <w:noWrap/>
            <w:vAlign w:val="bottom"/>
            <w:hideMark/>
          </w:tcPr>
          <w:p w14:paraId="5CAB3D87" w14:textId="3A1AA6D6"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22</w:t>
            </w:r>
          </w:p>
        </w:tc>
        <w:tc>
          <w:tcPr>
            <w:tcW w:w="3260" w:type="dxa"/>
            <w:noWrap/>
            <w:vAlign w:val="bottom"/>
            <w:hideMark/>
          </w:tcPr>
          <w:p w14:paraId="306452B7" w14:textId="77B41B50"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1260 (77.0-20700), &lt;0.0001, 5.00</w:t>
            </w:r>
          </w:p>
        </w:tc>
        <w:tc>
          <w:tcPr>
            <w:tcW w:w="3405" w:type="dxa"/>
            <w:noWrap/>
            <w:vAlign w:val="bottom"/>
            <w:hideMark/>
          </w:tcPr>
          <w:p w14:paraId="13C5F4D3" w14:textId="7F59B31B"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28.8 (16.3-50.6), &lt;0.0001, 11.6</w:t>
            </w:r>
          </w:p>
        </w:tc>
      </w:tr>
      <w:tr w:rsidR="005F49CE" w:rsidRPr="00CF3785" w14:paraId="28B4C831" w14:textId="77777777" w:rsidTr="00CF3785">
        <w:trPr>
          <w:trHeight w:val="320"/>
        </w:trPr>
        <w:tc>
          <w:tcPr>
            <w:tcW w:w="3235" w:type="dxa"/>
            <w:noWrap/>
            <w:vAlign w:val="bottom"/>
            <w:hideMark/>
          </w:tcPr>
          <w:p w14:paraId="46A01962" w14:textId="1D4DAF2C" w:rsidR="005F49CE" w:rsidRPr="00DE48E0" w:rsidRDefault="005F49CE" w:rsidP="00F346F5">
            <w:pPr>
              <w:rPr>
                <w:rFonts w:asciiTheme="minorHAnsi" w:eastAsiaTheme="minorHAnsi" w:hAnsiTheme="minorHAnsi" w:cstheme="minorHAnsi"/>
                <w:color w:val="000000"/>
                <w:kern w:val="2"/>
                <w14:ligatures w14:val="standardContextual"/>
              </w:rPr>
            </w:pPr>
            <w:r w:rsidRPr="00DE48E0">
              <w:rPr>
                <w:rFonts w:asciiTheme="minorHAnsi" w:eastAsiaTheme="minorHAnsi" w:hAnsiTheme="minorHAnsi" w:cstheme="minorHAnsi"/>
                <w:color w:val="000000"/>
                <w:kern w:val="2"/>
                <w14:ligatures w14:val="standardContextual"/>
              </w:rPr>
              <w:t>Herpes zoster meningoencephalitis</w:t>
            </w:r>
          </w:p>
        </w:tc>
        <w:tc>
          <w:tcPr>
            <w:tcW w:w="1097" w:type="dxa"/>
            <w:noWrap/>
            <w:vAlign w:val="bottom"/>
            <w:hideMark/>
          </w:tcPr>
          <w:p w14:paraId="06FAA2CA" w14:textId="0C541379"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38</w:t>
            </w:r>
          </w:p>
        </w:tc>
        <w:tc>
          <w:tcPr>
            <w:tcW w:w="1280" w:type="dxa"/>
            <w:noWrap/>
            <w:vAlign w:val="bottom"/>
            <w:hideMark/>
          </w:tcPr>
          <w:p w14:paraId="5843DF38" w14:textId="107BB35F"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1</w:t>
            </w:r>
          </w:p>
        </w:tc>
        <w:tc>
          <w:tcPr>
            <w:tcW w:w="673" w:type="dxa"/>
            <w:noWrap/>
            <w:vAlign w:val="bottom"/>
            <w:hideMark/>
          </w:tcPr>
          <w:p w14:paraId="3ED75E41" w14:textId="572CBCE7"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27</w:t>
            </w:r>
          </w:p>
        </w:tc>
        <w:tc>
          <w:tcPr>
            <w:tcW w:w="3260" w:type="dxa"/>
            <w:noWrap/>
            <w:vAlign w:val="bottom"/>
            <w:hideMark/>
          </w:tcPr>
          <w:p w14:paraId="6747C791" w14:textId="01599E25"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339 (45.5-2520), &lt;0.0001, 5.69</w:t>
            </w:r>
          </w:p>
        </w:tc>
        <w:tc>
          <w:tcPr>
            <w:tcW w:w="3405" w:type="dxa"/>
            <w:noWrap/>
            <w:vAlign w:val="bottom"/>
            <w:hideMark/>
          </w:tcPr>
          <w:p w14:paraId="47BFEB5A" w14:textId="2CCB4816"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12.5 (7.04-22.4), &lt;0.0001, 8.58</w:t>
            </w:r>
          </w:p>
        </w:tc>
      </w:tr>
      <w:tr w:rsidR="005F49CE" w:rsidRPr="00CF3785" w14:paraId="2C878A80" w14:textId="77777777" w:rsidTr="00CF3785">
        <w:trPr>
          <w:trHeight w:val="320"/>
        </w:trPr>
        <w:tc>
          <w:tcPr>
            <w:tcW w:w="3235" w:type="dxa"/>
            <w:noWrap/>
            <w:vAlign w:val="bottom"/>
            <w:hideMark/>
          </w:tcPr>
          <w:p w14:paraId="3A70DA3D" w14:textId="4A397A68" w:rsidR="005F49CE" w:rsidRPr="00DE48E0" w:rsidRDefault="005F49CE" w:rsidP="005F49CE">
            <w:pPr>
              <w:rPr>
                <w:rFonts w:asciiTheme="minorHAnsi" w:eastAsiaTheme="minorHAnsi" w:hAnsiTheme="minorHAnsi" w:cstheme="minorHAnsi"/>
                <w:color w:val="000000"/>
                <w:kern w:val="2"/>
                <w14:ligatures w14:val="standardContextual"/>
              </w:rPr>
            </w:pPr>
            <w:r w:rsidRPr="00DE48E0">
              <w:rPr>
                <w:rFonts w:asciiTheme="minorHAnsi" w:eastAsiaTheme="minorHAnsi" w:hAnsiTheme="minorHAnsi" w:cstheme="minorHAnsi"/>
                <w:color w:val="000000"/>
                <w:kern w:val="2"/>
                <w14:ligatures w14:val="standardContextual"/>
              </w:rPr>
              <w:lastRenderedPageBreak/>
              <w:t>Herpes zoster meningomyelitis</w:t>
            </w:r>
          </w:p>
        </w:tc>
        <w:tc>
          <w:tcPr>
            <w:tcW w:w="1097" w:type="dxa"/>
            <w:noWrap/>
            <w:vAlign w:val="bottom"/>
            <w:hideMark/>
          </w:tcPr>
          <w:p w14:paraId="16713938" w14:textId="11E57CE1"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4</w:t>
            </w:r>
          </w:p>
        </w:tc>
        <w:tc>
          <w:tcPr>
            <w:tcW w:w="1280" w:type="dxa"/>
            <w:noWrap/>
            <w:vAlign w:val="bottom"/>
            <w:hideMark/>
          </w:tcPr>
          <w:p w14:paraId="10ACD1C5" w14:textId="11543984"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673" w:type="dxa"/>
            <w:noWrap/>
            <w:vAlign w:val="bottom"/>
            <w:hideMark/>
          </w:tcPr>
          <w:p w14:paraId="50F81D6D" w14:textId="7D192FA6"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2</w:t>
            </w:r>
          </w:p>
        </w:tc>
        <w:tc>
          <w:tcPr>
            <w:tcW w:w="3260" w:type="dxa"/>
            <w:noWrap/>
            <w:vAlign w:val="bottom"/>
            <w:hideMark/>
          </w:tcPr>
          <w:p w14:paraId="598DB48A" w14:textId="6225910C"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79.5 (4.21-1500), =0.0035, 2.92</w:t>
            </w:r>
          </w:p>
        </w:tc>
        <w:tc>
          <w:tcPr>
            <w:tcW w:w="3405" w:type="dxa"/>
            <w:noWrap/>
            <w:vAlign w:val="bottom"/>
            <w:hideMark/>
          </w:tcPr>
          <w:p w14:paraId="2C53F916" w14:textId="054C100B"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17.8 (3.18-100), =0.0011, 3.28</w:t>
            </w:r>
          </w:p>
        </w:tc>
      </w:tr>
      <w:tr w:rsidR="005F49CE" w:rsidRPr="00CF3785" w14:paraId="6444C488" w14:textId="77777777" w:rsidTr="00CF3785">
        <w:trPr>
          <w:trHeight w:val="320"/>
        </w:trPr>
        <w:tc>
          <w:tcPr>
            <w:tcW w:w="3235" w:type="dxa"/>
            <w:noWrap/>
            <w:vAlign w:val="bottom"/>
            <w:hideMark/>
          </w:tcPr>
          <w:p w14:paraId="66D90B3E" w14:textId="594414E2" w:rsidR="005F49CE" w:rsidRPr="00DE48E0" w:rsidRDefault="005F49CE" w:rsidP="005F49CE">
            <w:pPr>
              <w:rPr>
                <w:rFonts w:asciiTheme="minorHAnsi" w:eastAsiaTheme="minorHAnsi" w:hAnsiTheme="minorHAnsi" w:cstheme="minorHAnsi"/>
                <w:color w:val="000000"/>
                <w:kern w:val="2"/>
                <w14:ligatures w14:val="standardContextual"/>
              </w:rPr>
            </w:pPr>
            <w:r w:rsidRPr="00DE48E0">
              <w:rPr>
                <w:rFonts w:asciiTheme="minorHAnsi" w:eastAsiaTheme="minorHAnsi" w:hAnsiTheme="minorHAnsi" w:cstheme="minorHAnsi"/>
                <w:color w:val="000000"/>
                <w:kern w:val="2"/>
                <w14:ligatures w14:val="standardContextual"/>
              </w:rPr>
              <w:t>Herpes zoster meningoradiculitis</w:t>
            </w:r>
          </w:p>
        </w:tc>
        <w:tc>
          <w:tcPr>
            <w:tcW w:w="1097" w:type="dxa"/>
            <w:noWrap/>
            <w:vAlign w:val="bottom"/>
            <w:hideMark/>
          </w:tcPr>
          <w:p w14:paraId="2F9132F3" w14:textId="35B4BF05"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8</w:t>
            </w:r>
          </w:p>
        </w:tc>
        <w:tc>
          <w:tcPr>
            <w:tcW w:w="1280" w:type="dxa"/>
            <w:noWrap/>
            <w:vAlign w:val="bottom"/>
            <w:hideMark/>
          </w:tcPr>
          <w:p w14:paraId="705C5D8E" w14:textId="593D32BD"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673" w:type="dxa"/>
            <w:noWrap/>
            <w:vAlign w:val="bottom"/>
            <w:hideMark/>
          </w:tcPr>
          <w:p w14:paraId="227E0327" w14:textId="17AC81F6"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1</w:t>
            </w:r>
          </w:p>
        </w:tc>
        <w:tc>
          <w:tcPr>
            <w:tcW w:w="3260" w:type="dxa"/>
            <w:noWrap/>
            <w:vAlign w:val="bottom"/>
            <w:hideMark/>
          </w:tcPr>
          <w:p w14:paraId="574BBEAA" w14:textId="5D20D15B"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150 (8.53-2640), =0.0006, 3.43</w:t>
            </w:r>
          </w:p>
        </w:tc>
        <w:tc>
          <w:tcPr>
            <w:tcW w:w="3405" w:type="dxa"/>
            <w:noWrap/>
            <w:vAlign w:val="bottom"/>
            <w:hideMark/>
          </w:tcPr>
          <w:p w14:paraId="0FDE7540" w14:textId="412FE37D"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71.3 (8.73-583), &lt;0.0001, 3.98</w:t>
            </w:r>
          </w:p>
        </w:tc>
      </w:tr>
      <w:tr w:rsidR="005F49CE" w:rsidRPr="00CF3785" w14:paraId="3DDBBACF" w14:textId="77777777" w:rsidTr="00CF3785">
        <w:trPr>
          <w:trHeight w:val="320"/>
        </w:trPr>
        <w:tc>
          <w:tcPr>
            <w:tcW w:w="3235" w:type="dxa"/>
            <w:noWrap/>
            <w:vAlign w:val="bottom"/>
            <w:hideMark/>
          </w:tcPr>
          <w:p w14:paraId="3D347CA8" w14:textId="34315010" w:rsidR="005F49CE" w:rsidRPr="00DE48E0" w:rsidRDefault="005F49CE" w:rsidP="005F49CE">
            <w:pPr>
              <w:rPr>
                <w:rFonts w:asciiTheme="minorHAnsi" w:eastAsiaTheme="minorHAnsi" w:hAnsiTheme="minorHAnsi" w:cstheme="minorHAnsi"/>
                <w:color w:val="000000"/>
                <w:kern w:val="2"/>
                <w14:ligatures w14:val="standardContextual"/>
              </w:rPr>
            </w:pPr>
            <w:r w:rsidRPr="00DE48E0">
              <w:rPr>
                <w:rFonts w:asciiTheme="minorHAnsi" w:eastAsiaTheme="minorHAnsi" w:hAnsiTheme="minorHAnsi" w:cstheme="minorHAnsi"/>
                <w:color w:val="000000"/>
                <w:kern w:val="2"/>
                <w14:ligatures w14:val="standardContextual"/>
              </w:rPr>
              <w:t>Meningitis herpes</w:t>
            </w:r>
          </w:p>
        </w:tc>
        <w:tc>
          <w:tcPr>
            <w:tcW w:w="1097" w:type="dxa"/>
            <w:noWrap/>
            <w:vAlign w:val="bottom"/>
            <w:hideMark/>
          </w:tcPr>
          <w:p w14:paraId="219F1E69" w14:textId="2BE69E39"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13</w:t>
            </w:r>
          </w:p>
        </w:tc>
        <w:tc>
          <w:tcPr>
            <w:tcW w:w="1280" w:type="dxa"/>
            <w:noWrap/>
            <w:vAlign w:val="bottom"/>
            <w:hideMark/>
          </w:tcPr>
          <w:p w14:paraId="705E72C4" w14:textId="5CE52436"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3</w:t>
            </w:r>
          </w:p>
        </w:tc>
        <w:tc>
          <w:tcPr>
            <w:tcW w:w="673" w:type="dxa"/>
            <w:noWrap/>
            <w:vAlign w:val="bottom"/>
            <w:hideMark/>
          </w:tcPr>
          <w:p w14:paraId="7265B420" w14:textId="5DAB0F1F"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5</w:t>
            </w:r>
          </w:p>
        </w:tc>
        <w:tc>
          <w:tcPr>
            <w:tcW w:w="3260" w:type="dxa"/>
            <w:noWrap/>
            <w:vAlign w:val="bottom"/>
            <w:hideMark/>
          </w:tcPr>
          <w:p w14:paraId="42BC1142" w14:textId="18669C28"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38.6 (10.6-140), &lt;0.0001, 5.55</w:t>
            </w:r>
          </w:p>
        </w:tc>
        <w:tc>
          <w:tcPr>
            <w:tcW w:w="3405" w:type="dxa"/>
            <w:noWrap/>
            <w:vAlign w:val="bottom"/>
            <w:hideMark/>
          </w:tcPr>
          <w:p w14:paraId="43EEDE87" w14:textId="042CB373"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23.2 (7.91-67.9), &lt;0.0001, 5.73</w:t>
            </w:r>
          </w:p>
        </w:tc>
      </w:tr>
      <w:tr w:rsidR="005F49CE" w:rsidRPr="00CF3785" w14:paraId="139572E5" w14:textId="77777777" w:rsidTr="00CF3785">
        <w:trPr>
          <w:trHeight w:val="320"/>
        </w:trPr>
        <w:tc>
          <w:tcPr>
            <w:tcW w:w="3235" w:type="dxa"/>
            <w:noWrap/>
            <w:vAlign w:val="bottom"/>
            <w:hideMark/>
          </w:tcPr>
          <w:p w14:paraId="319A61E7" w14:textId="2A2C9C3A" w:rsidR="005F49CE" w:rsidRPr="00DE48E0" w:rsidRDefault="005F49CE" w:rsidP="005F49CE">
            <w:pPr>
              <w:rPr>
                <w:rFonts w:asciiTheme="minorHAnsi" w:eastAsiaTheme="minorHAnsi" w:hAnsiTheme="minorHAnsi" w:cstheme="minorHAnsi"/>
                <w:color w:val="000000"/>
                <w:kern w:val="2"/>
                <w14:ligatures w14:val="standardContextual"/>
              </w:rPr>
            </w:pPr>
            <w:r w:rsidRPr="00DE48E0">
              <w:rPr>
                <w:rFonts w:asciiTheme="minorHAnsi" w:eastAsiaTheme="minorHAnsi" w:hAnsiTheme="minorHAnsi" w:cstheme="minorHAnsi"/>
                <w:color w:val="000000"/>
                <w:kern w:val="2"/>
                <w14:ligatures w14:val="standardContextual"/>
              </w:rPr>
              <w:t>Meningoencephalitis herpetic</w:t>
            </w:r>
          </w:p>
        </w:tc>
        <w:tc>
          <w:tcPr>
            <w:tcW w:w="1097" w:type="dxa"/>
            <w:noWrap/>
            <w:vAlign w:val="bottom"/>
            <w:hideMark/>
          </w:tcPr>
          <w:p w14:paraId="0AAAB86F" w14:textId="199CC3ED"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61</w:t>
            </w:r>
          </w:p>
        </w:tc>
        <w:tc>
          <w:tcPr>
            <w:tcW w:w="1280" w:type="dxa"/>
            <w:noWrap/>
            <w:vAlign w:val="bottom"/>
            <w:hideMark/>
          </w:tcPr>
          <w:p w14:paraId="527221D0" w14:textId="2E150B81"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4</w:t>
            </w:r>
          </w:p>
        </w:tc>
        <w:tc>
          <w:tcPr>
            <w:tcW w:w="673" w:type="dxa"/>
            <w:noWrap/>
            <w:vAlign w:val="bottom"/>
            <w:hideMark/>
          </w:tcPr>
          <w:p w14:paraId="7F87F7D5" w14:textId="78671460"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21</w:t>
            </w:r>
          </w:p>
        </w:tc>
        <w:tc>
          <w:tcPr>
            <w:tcW w:w="3260" w:type="dxa"/>
            <w:noWrap/>
            <w:vAlign w:val="bottom"/>
            <w:hideMark/>
          </w:tcPr>
          <w:p w14:paraId="1E3BAD54" w14:textId="25858FC7"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136 (47.3-391), &lt;0.0001, 9.12</w:t>
            </w:r>
          </w:p>
        </w:tc>
        <w:tc>
          <w:tcPr>
            <w:tcW w:w="3405" w:type="dxa"/>
            <w:noWrap/>
            <w:vAlign w:val="bottom"/>
            <w:hideMark/>
          </w:tcPr>
          <w:p w14:paraId="7275283C" w14:textId="46AE6F9B"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25.9 (14.5-46.3), &lt;0.0001, 11.0</w:t>
            </w:r>
          </w:p>
        </w:tc>
      </w:tr>
      <w:tr w:rsidR="005F49CE" w:rsidRPr="00CF3785" w14:paraId="54F3CBE2" w14:textId="77777777" w:rsidTr="00CF3785">
        <w:trPr>
          <w:trHeight w:val="320"/>
        </w:trPr>
        <w:tc>
          <w:tcPr>
            <w:tcW w:w="3235" w:type="dxa"/>
            <w:noWrap/>
            <w:vAlign w:val="bottom"/>
            <w:hideMark/>
          </w:tcPr>
          <w:p w14:paraId="676580A6" w14:textId="37C190D9" w:rsidR="005F49CE" w:rsidRPr="00DE48E0" w:rsidRDefault="005F49CE" w:rsidP="005F49CE">
            <w:pPr>
              <w:rPr>
                <w:rFonts w:asciiTheme="minorHAnsi" w:eastAsiaTheme="minorHAnsi" w:hAnsiTheme="minorHAnsi" w:cstheme="minorHAnsi"/>
                <w:color w:val="000000"/>
                <w:kern w:val="2"/>
                <w14:ligatures w14:val="standardContextual"/>
              </w:rPr>
            </w:pPr>
            <w:r w:rsidRPr="00DE48E0">
              <w:rPr>
                <w:rFonts w:asciiTheme="minorHAnsi" w:eastAsiaTheme="minorHAnsi" w:hAnsiTheme="minorHAnsi" w:cstheme="minorHAnsi"/>
                <w:color w:val="000000"/>
                <w:kern w:val="2"/>
                <w14:ligatures w14:val="standardContextual"/>
              </w:rPr>
              <w:t>Varicella meningitis</w:t>
            </w:r>
          </w:p>
        </w:tc>
        <w:tc>
          <w:tcPr>
            <w:tcW w:w="1097" w:type="dxa"/>
            <w:noWrap/>
            <w:vAlign w:val="bottom"/>
            <w:hideMark/>
          </w:tcPr>
          <w:p w14:paraId="3C0548C1" w14:textId="7B7C0308"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9</w:t>
            </w:r>
          </w:p>
        </w:tc>
        <w:tc>
          <w:tcPr>
            <w:tcW w:w="1280" w:type="dxa"/>
            <w:noWrap/>
            <w:vAlign w:val="bottom"/>
            <w:hideMark/>
          </w:tcPr>
          <w:p w14:paraId="31C4F5E5" w14:textId="6AD4B722"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0</w:t>
            </w:r>
          </w:p>
        </w:tc>
        <w:tc>
          <w:tcPr>
            <w:tcW w:w="673" w:type="dxa"/>
            <w:noWrap/>
            <w:vAlign w:val="bottom"/>
            <w:hideMark/>
          </w:tcPr>
          <w:p w14:paraId="6C1A2D9A" w14:textId="601C9C85" w:rsidR="005F49CE" w:rsidRPr="005F49CE" w:rsidRDefault="005F49CE" w:rsidP="005F49CE">
            <w:pPr>
              <w:jc w:val="right"/>
              <w:rPr>
                <w:rFonts w:asciiTheme="minorHAnsi" w:hAnsiTheme="minorHAnsi" w:cstheme="minorHAnsi"/>
                <w:color w:val="000000" w:themeColor="text1"/>
              </w:rPr>
            </w:pPr>
            <w:r w:rsidRPr="003A0B8D">
              <w:rPr>
                <w:rFonts w:asciiTheme="minorHAnsi" w:hAnsiTheme="minorHAnsi" w:cstheme="minorHAnsi"/>
                <w:color w:val="000000"/>
              </w:rPr>
              <w:t>6</w:t>
            </w:r>
          </w:p>
        </w:tc>
        <w:tc>
          <w:tcPr>
            <w:tcW w:w="3260" w:type="dxa"/>
            <w:noWrap/>
            <w:vAlign w:val="bottom"/>
            <w:hideMark/>
          </w:tcPr>
          <w:p w14:paraId="43545DDD" w14:textId="4DFD4C50"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168 (9.61-2930), =0.0004, 3.51</w:t>
            </w:r>
          </w:p>
        </w:tc>
        <w:tc>
          <w:tcPr>
            <w:tcW w:w="3405" w:type="dxa"/>
            <w:noWrap/>
            <w:vAlign w:val="bottom"/>
            <w:hideMark/>
          </w:tcPr>
          <w:p w14:paraId="16A1B6F0" w14:textId="53C02764" w:rsidR="005F49CE" w:rsidRPr="005F49CE" w:rsidRDefault="005F49CE" w:rsidP="005F49CE">
            <w:pPr>
              <w:jc w:val="center"/>
              <w:rPr>
                <w:rFonts w:asciiTheme="minorHAnsi" w:hAnsiTheme="minorHAnsi" w:cstheme="minorHAnsi"/>
                <w:color w:val="000000" w:themeColor="text1"/>
              </w:rPr>
            </w:pPr>
            <w:r w:rsidRPr="003A0B8D">
              <w:rPr>
                <w:rFonts w:asciiTheme="minorHAnsi" w:hAnsiTheme="minorHAnsi" w:cstheme="minorHAnsi"/>
                <w:color w:val="000000"/>
              </w:rPr>
              <w:t>13.4 (4.56-39.2), &lt;0.0001, 4.72</w:t>
            </w:r>
          </w:p>
        </w:tc>
      </w:tr>
      <w:tr w:rsidR="00CF3785" w:rsidRPr="00CF3785" w14:paraId="377E250C" w14:textId="77777777" w:rsidTr="00CF3785">
        <w:trPr>
          <w:trHeight w:val="340"/>
        </w:trPr>
        <w:tc>
          <w:tcPr>
            <w:tcW w:w="3235" w:type="dxa"/>
            <w:vAlign w:val="bottom"/>
            <w:hideMark/>
          </w:tcPr>
          <w:p w14:paraId="27E18DDF" w14:textId="214AE4E0" w:rsidR="00A44B35" w:rsidRPr="00CF3785" w:rsidRDefault="00A44B35" w:rsidP="00A44B35">
            <w:pPr>
              <w:rPr>
                <w:rFonts w:asciiTheme="minorHAnsi" w:hAnsiTheme="minorHAnsi" w:cstheme="minorHAnsi"/>
                <w:b/>
                <w:bCs/>
                <w:color w:val="000000" w:themeColor="text1"/>
              </w:rPr>
            </w:pPr>
            <w:r w:rsidRPr="00CF3785">
              <w:rPr>
                <w:rFonts w:asciiTheme="minorHAnsi" w:hAnsiTheme="minorHAnsi" w:cstheme="minorHAnsi"/>
                <w:b/>
                <w:bCs/>
                <w:color w:val="000000" w:themeColor="text1"/>
              </w:rPr>
              <w:t xml:space="preserve">Total </w:t>
            </w:r>
            <w:r w:rsidR="006D727D">
              <w:rPr>
                <w:rFonts w:asciiTheme="minorHAnsi" w:hAnsiTheme="minorHAnsi" w:cstheme="minorHAnsi"/>
                <w:b/>
                <w:bCs/>
                <w:color w:val="000000" w:themeColor="text1"/>
              </w:rPr>
              <w:t xml:space="preserve">Herpetic CNS </w:t>
            </w:r>
            <w:r w:rsidR="007023F7">
              <w:rPr>
                <w:rFonts w:asciiTheme="minorHAnsi" w:hAnsiTheme="minorHAnsi" w:cstheme="minorHAnsi"/>
                <w:b/>
                <w:bCs/>
                <w:color w:val="000000" w:themeColor="text1"/>
              </w:rPr>
              <w:t>I</w:t>
            </w:r>
            <w:r w:rsidR="006D727D">
              <w:rPr>
                <w:rFonts w:asciiTheme="minorHAnsi" w:hAnsiTheme="minorHAnsi" w:cstheme="minorHAnsi"/>
                <w:b/>
                <w:bCs/>
                <w:color w:val="000000" w:themeColor="text1"/>
              </w:rPr>
              <w:t>nfection</w:t>
            </w:r>
          </w:p>
        </w:tc>
        <w:tc>
          <w:tcPr>
            <w:tcW w:w="1097" w:type="dxa"/>
            <w:noWrap/>
            <w:vAlign w:val="bottom"/>
            <w:hideMark/>
          </w:tcPr>
          <w:p w14:paraId="130C65A7" w14:textId="77777777" w:rsidR="00A44B35" w:rsidRPr="00CF3785" w:rsidRDefault="00A44B35" w:rsidP="00A44B35">
            <w:pPr>
              <w:jc w:val="right"/>
              <w:rPr>
                <w:rFonts w:asciiTheme="minorHAnsi" w:hAnsiTheme="minorHAnsi" w:cstheme="minorHAnsi"/>
                <w:b/>
                <w:bCs/>
                <w:color w:val="000000" w:themeColor="text1"/>
              </w:rPr>
            </w:pPr>
            <w:r w:rsidRPr="00CF3785">
              <w:rPr>
                <w:rFonts w:asciiTheme="minorHAnsi" w:hAnsiTheme="minorHAnsi" w:cstheme="minorHAnsi"/>
                <w:b/>
                <w:bCs/>
                <w:color w:val="000000" w:themeColor="text1"/>
              </w:rPr>
              <w:t>288</w:t>
            </w:r>
          </w:p>
        </w:tc>
        <w:tc>
          <w:tcPr>
            <w:tcW w:w="1280" w:type="dxa"/>
            <w:noWrap/>
            <w:vAlign w:val="bottom"/>
            <w:hideMark/>
          </w:tcPr>
          <w:p w14:paraId="5DA46FA3" w14:textId="77777777" w:rsidR="00A44B35" w:rsidRPr="00CF3785" w:rsidRDefault="00A44B35" w:rsidP="00A44B35">
            <w:pPr>
              <w:jc w:val="right"/>
              <w:rPr>
                <w:rFonts w:asciiTheme="minorHAnsi" w:hAnsiTheme="minorHAnsi" w:cstheme="minorHAnsi"/>
                <w:b/>
                <w:bCs/>
                <w:color w:val="000000" w:themeColor="text1"/>
              </w:rPr>
            </w:pPr>
            <w:r w:rsidRPr="00CF3785">
              <w:rPr>
                <w:rFonts w:asciiTheme="minorHAnsi" w:hAnsiTheme="minorHAnsi" w:cstheme="minorHAnsi"/>
                <w:b/>
                <w:bCs/>
                <w:color w:val="000000" w:themeColor="text1"/>
              </w:rPr>
              <w:t>15</w:t>
            </w:r>
          </w:p>
        </w:tc>
        <w:tc>
          <w:tcPr>
            <w:tcW w:w="673" w:type="dxa"/>
            <w:noWrap/>
            <w:vAlign w:val="bottom"/>
            <w:hideMark/>
          </w:tcPr>
          <w:p w14:paraId="085BB45B" w14:textId="77777777" w:rsidR="00A44B35" w:rsidRPr="00CF3785" w:rsidRDefault="00A44B35" w:rsidP="00A44B35">
            <w:pPr>
              <w:jc w:val="right"/>
              <w:rPr>
                <w:rFonts w:asciiTheme="minorHAnsi" w:hAnsiTheme="minorHAnsi" w:cstheme="minorHAnsi"/>
                <w:b/>
                <w:bCs/>
                <w:color w:val="000000" w:themeColor="text1"/>
              </w:rPr>
            </w:pPr>
            <w:r w:rsidRPr="00CF3785">
              <w:rPr>
                <w:rFonts w:asciiTheme="minorHAnsi" w:hAnsiTheme="minorHAnsi" w:cstheme="minorHAnsi"/>
                <w:b/>
                <w:bCs/>
                <w:color w:val="000000" w:themeColor="text1"/>
              </w:rPr>
              <w:t>115</w:t>
            </w:r>
          </w:p>
        </w:tc>
        <w:tc>
          <w:tcPr>
            <w:tcW w:w="3260" w:type="dxa"/>
            <w:noWrap/>
            <w:vAlign w:val="bottom"/>
            <w:hideMark/>
          </w:tcPr>
          <w:p w14:paraId="4122CF5D" w14:textId="77777777" w:rsidR="00A44B35" w:rsidRPr="00CF3785" w:rsidRDefault="00A44B35" w:rsidP="00A44B35">
            <w:pPr>
              <w:jc w:val="center"/>
              <w:rPr>
                <w:rFonts w:asciiTheme="minorHAnsi" w:hAnsiTheme="minorHAnsi" w:cstheme="minorHAnsi"/>
                <w:b/>
                <w:bCs/>
                <w:color w:val="000000" w:themeColor="text1"/>
              </w:rPr>
            </w:pPr>
            <w:r w:rsidRPr="00CF3785">
              <w:rPr>
                <w:rFonts w:asciiTheme="minorHAnsi" w:hAnsiTheme="minorHAnsi" w:cstheme="minorHAnsi"/>
                <w:b/>
                <w:bCs/>
                <w:color w:val="000000" w:themeColor="text1"/>
              </w:rPr>
              <w:t>171 (93.9-312), &lt;0.0001, 16.8</w:t>
            </w:r>
          </w:p>
        </w:tc>
        <w:tc>
          <w:tcPr>
            <w:tcW w:w="3405" w:type="dxa"/>
            <w:noWrap/>
            <w:vAlign w:val="bottom"/>
            <w:hideMark/>
          </w:tcPr>
          <w:p w14:paraId="6F7A077C" w14:textId="77777777" w:rsidR="00A44B35" w:rsidRPr="00CF3785" w:rsidRDefault="00A44B35" w:rsidP="00A44B35">
            <w:pPr>
              <w:jc w:val="center"/>
              <w:rPr>
                <w:rFonts w:asciiTheme="minorHAnsi" w:hAnsiTheme="minorHAnsi" w:cstheme="minorHAnsi"/>
                <w:b/>
                <w:bCs/>
                <w:color w:val="000000" w:themeColor="text1"/>
              </w:rPr>
            </w:pPr>
            <w:r w:rsidRPr="00CF3785">
              <w:rPr>
                <w:rFonts w:asciiTheme="minorHAnsi" w:hAnsiTheme="minorHAnsi" w:cstheme="minorHAnsi"/>
                <w:b/>
                <w:bCs/>
                <w:color w:val="000000" w:themeColor="text1"/>
              </w:rPr>
              <w:t>22.3 (15.4-32.4), &lt;0.0001, 16.4</w:t>
            </w:r>
          </w:p>
        </w:tc>
      </w:tr>
    </w:tbl>
    <w:p w14:paraId="74471A68" w14:textId="77777777" w:rsidR="004616B4" w:rsidRPr="00CF3785" w:rsidRDefault="004616B4" w:rsidP="00045BC5">
      <w:pPr>
        <w:rPr>
          <w:color w:val="000000" w:themeColor="text1"/>
        </w:rPr>
      </w:pPr>
    </w:p>
    <w:p w14:paraId="60E7544D" w14:textId="77777777" w:rsidR="004616B4" w:rsidRPr="00CF3785" w:rsidRDefault="004616B4" w:rsidP="00045BC5">
      <w:pPr>
        <w:rPr>
          <w:color w:val="000000" w:themeColor="text1"/>
        </w:rPr>
      </w:pPr>
    </w:p>
    <w:p w14:paraId="40835AB7" w14:textId="3C2CEB9D" w:rsidR="004616B4" w:rsidRPr="00CF3785" w:rsidRDefault="00C565AF" w:rsidP="00045BC5">
      <w:pPr>
        <w:rPr>
          <w:color w:val="000000" w:themeColor="text1"/>
        </w:rPr>
      </w:pPr>
      <w:r>
        <w:t xml:space="preserve">Table 3. Central Nervous System (CNS) Abscesses Reported to VAERS Following COVID-19 Vaccination Compared </w:t>
      </w:r>
      <w:proofErr w:type="gramStart"/>
      <w:r>
        <w:t>With</w:t>
      </w:r>
      <w:proofErr w:type="gramEnd"/>
      <w:r>
        <w:t xml:space="preserve"> Influenza and All Other Vaccines</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080"/>
        <w:gridCol w:w="1260"/>
        <w:gridCol w:w="724"/>
        <w:gridCol w:w="3326"/>
        <w:gridCol w:w="3325"/>
      </w:tblGrid>
      <w:tr w:rsidR="004B24BB" w:rsidRPr="00CF3785" w14:paraId="64DA35A4" w14:textId="77777777" w:rsidTr="00BD0483">
        <w:trPr>
          <w:trHeight w:val="320"/>
        </w:trPr>
        <w:tc>
          <w:tcPr>
            <w:tcW w:w="3235" w:type="dxa"/>
            <w:noWrap/>
            <w:vAlign w:val="bottom"/>
          </w:tcPr>
          <w:p w14:paraId="2814002C" w14:textId="77777777" w:rsidR="004B24BB" w:rsidRPr="00CF3785" w:rsidRDefault="004B24BB" w:rsidP="00893323">
            <w:pPr>
              <w:rPr>
                <w:rFonts w:ascii="Calibri" w:hAnsi="Calibri" w:cs="Calibri"/>
                <w:b/>
                <w:bCs/>
                <w:color w:val="000000" w:themeColor="text1"/>
              </w:rPr>
            </w:pPr>
          </w:p>
        </w:tc>
        <w:tc>
          <w:tcPr>
            <w:tcW w:w="1080" w:type="dxa"/>
            <w:tcBorders>
              <w:bottom w:val="single" w:sz="4" w:space="0" w:color="auto"/>
            </w:tcBorders>
            <w:noWrap/>
            <w:vAlign w:val="bottom"/>
          </w:tcPr>
          <w:p w14:paraId="22575F2B" w14:textId="77777777" w:rsidR="004B24BB" w:rsidRPr="00CF3785" w:rsidRDefault="004B24BB" w:rsidP="00893323">
            <w:pPr>
              <w:rPr>
                <w:rFonts w:ascii="Calibri" w:hAnsi="Calibri" w:cs="Calibri"/>
                <w:b/>
                <w:bCs/>
                <w:color w:val="000000" w:themeColor="text1"/>
              </w:rPr>
            </w:pPr>
            <w:r w:rsidRPr="00CF3785">
              <w:rPr>
                <w:b/>
                <w:bCs/>
                <w:color w:val="000000" w:themeColor="text1"/>
              </w:rPr>
              <w:t xml:space="preserve">COVID </w:t>
            </w:r>
          </w:p>
        </w:tc>
        <w:tc>
          <w:tcPr>
            <w:tcW w:w="1260" w:type="dxa"/>
            <w:tcBorders>
              <w:bottom w:val="single" w:sz="4" w:space="0" w:color="auto"/>
            </w:tcBorders>
            <w:noWrap/>
            <w:vAlign w:val="bottom"/>
          </w:tcPr>
          <w:p w14:paraId="0CEABD88" w14:textId="77777777" w:rsidR="004B24BB" w:rsidRPr="00CF3785" w:rsidRDefault="004B24BB" w:rsidP="00893323">
            <w:pPr>
              <w:rPr>
                <w:color w:val="000000" w:themeColor="text1"/>
                <w:sz w:val="20"/>
                <w:szCs w:val="20"/>
              </w:rPr>
            </w:pPr>
            <w:r w:rsidRPr="00CF3785">
              <w:rPr>
                <w:b/>
                <w:bCs/>
                <w:color w:val="000000" w:themeColor="text1"/>
              </w:rPr>
              <w:t>Influenza</w:t>
            </w:r>
          </w:p>
        </w:tc>
        <w:tc>
          <w:tcPr>
            <w:tcW w:w="724" w:type="dxa"/>
            <w:tcBorders>
              <w:bottom w:val="single" w:sz="4" w:space="0" w:color="auto"/>
            </w:tcBorders>
            <w:noWrap/>
            <w:vAlign w:val="bottom"/>
          </w:tcPr>
          <w:p w14:paraId="2475B3C5" w14:textId="77777777" w:rsidR="004B24BB" w:rsidRPr="00CF3785" w:rsidRDefault="004B24BB" w:rsidP="001A3690">
            <w:pPr>
              <w:jc w:val="center"/>
              <w:rPr>
                <w:color w:val="000000" w:themeColor="text1"/>
                <w:sz w:val="20"/>
                <w:szCs w:val="20"/>
              </w:rPr>
            </w:pPr>
            <w:r w:rsidRPr="00CF3785">
              <w:rPr>
                <w:b/>
                <w:bCs/>
                <w:color w:val="000000" w:themeColor="text1"/>
              </w:rPr>
              <w:t>All Vax</w:t>
            </w:r>
          </w:p>
        </w:tc>
        <w:tc>
          <w:tcPr>
            <w:tcW w:w="3326" w:type="dxa"/>
            <w:tcBorders>
              <w:bottom w:val="single" w:sz="4" w:space="0" w:color="auto"/>
            </w:tcBorders>
            <w:noWrap/>
            <w:vAlign w:val="bottom"/>
          </w:tcPr>
          <w:p w14:paraId="7E6B7968" w14:textId="03B08701" w:rsidR="007023F7" w:rsidRDefault="004B24BB" w:rsidP="007023F7">
            <w:pPr>
              <w:jc w:val="center"/>
              <w:rPr>
                <w:b/>
                <w:bCs/>
                <w:color w:val="000000" w:themeColor="text1"/>
              </w:rPr>
            </w:pPr>
            <w:r w:rsidRPr="00CF3785">
              <w:rPr>
                <w:b/>
                <w:bCs/>
                <w:color w:val="000000" w:themeColor="text1"/>
              </w:rPr>
              <w:t xml:space="preserve">COVID vs Flu Vax </w:t>
            </w:r>
            <w:r>
              <w:rPr>
                <w:b/>
                <w:bCs/>
                <w:color w:val="000000" w:themeColor="text1"/>
              </w:rPr>
              <w:t>OR</w:t>
            </w:r>
          </w:p>
          <w:p w14:paraId="5EF682CE" w14:textId="2637EB6F" w:rsidR="007023F7" w:rsidRDefault="004B24BB" w:rsidP="007023F7">
            <w:pPr>
              <w:jc w:val="center"/>
              <w:rPr>
                <w:b/>
                <w:bCs/>
                <w:color w:val="000000" w:themeColor="text1"/>
              </w:rPr>
            </w:pPr>
            <w:r w:rsidRPr="00CF3785">
              <w:rPr>
                <w:b/>
                <w:bCs/>
                <w:color w:val="000000" w:themeColor="text1"/>
              </w:rPr>
              <w:t>(95% Confidence Interval),</w:t>
            </w:r>
          </w:p>
          <w:p w14:paraId="527E4A3B" w14:textId="57F4A1F8" w:rsidR="004B24BB" w:rsidRPr="00CF3785" w:rsidRDefault="004B24BB" w:rsidP="001A3690">
            <w:pPr>
              <w:jc w:val="center"/>
              <w:rPr>
                <w:color w:val="000000" w:themeColor="text1"/>
                <w:sz w:val="20"/>
                <w:szCs w:val="20"/>
              </w:rPr>
            </w:pPr>
            <w:r w:rsidRPr="00CF3785">
              <w:rPr>
                <w:b/>
                <w:bCs/>
                <w:color w:val="000000" w:themeColor="text1"/>
              </w:rPr>
              <w:t>P Value, Z</w:t>
            </w:r>
            <w:r>
              <w:rPr>
                <w:b/>
                <w:bCs/>
                <w:color w:val="000000" w:themeColor="text1"/>
              </w:rPr>
              <w:t>-Score</w:t>
            </w:r>
          </w:p>
        </w:tc>
        <w:tc>
          <w:tcPr>
            <w:tcW w:w="3325" w:type="dxa"/>
            <w:tcBorders>
              <w:bottom w:val="single" w:sz="4" w:space="0" w:color="auto"/>
            </w:tcBorders>
            <w:noWrap/>
            <w:vAlign w:val="bottom"/>
          </w:tcPr>
          <w:p w14:paraId="452B2267" w14:textId="77777777" w:rsidR="007023F7" w:rsidRDefault="004B24BB" w:rsidP="00893323">
            <w:pPr>
              <w:jc w:val="center"/>
              <w:rPr>
                <w:b/>
                <w:bCs/>
                <w:color w:val="000000" w:themeColor="text1"/>
              </w:rPr>
            </w:pPr>
            <w:r w:rsidRPr="00CF3785">
              <w:rPr>
                <w:b/>
                <w:bCs/>
                <w:color w:val="000000" w:themeColor="text1"/>
              </w:rPr>
              <w:t xml:space="preserve">COVID vs All Vax </w:t>
            </w:r>
            <w:r>
              <w:rPr>
                <w:b/>
                <w:bCs/>
                <w:color w:val="000000" w:themeColor="text1"/>
              </w:rPr>
              <w:t>OR</w:t>
            </w:r>
            <w:r w:rsidRPr="00CF3785">
              <w:rPr>
                <w:b/>
                <w:bCs/>
                <w:color w:val="000000" w:themeColor="text1"/>
              </w:rPr>
              <w:t xml:space="preserve"> </w:t>
            </w:r>
          </w:p>
          <w:p w14:paraId="012E9725" w14:textId="77777777" w:rsidR="007023F7" w:rsidRDefault="004B24BB" w:rsidP="00893323">
            <w:pPr>
              <w:jc w:val="center"/>
              <w:rPr>
                <w:b/>
                <w:bCs/>
                <w:color w:val="000000" w:themeColor="text1"/>
              </w:rPr>
            </w:pPr>
            <w:r w:rsidRPr="00CF3785">
              <w:rPr>
                <w:b/>
                <w:bCs/>
                <w:color w:val="000000" w:themeColor="text1"/>
              </w:rPr>
              <w:t xml:space="preserve">(95% Confidence Interval), </w:t>
            </w:r>
          </w:p>
          <w:p w14:paraId="51F2A614" w14:textId="213B761A" w:rsidR="004B24BB" w:rsidRPr="00CF3785" w:rsidRDefault="004B24BB" w:rsidP="00893323">
            <w:pPr>
              <w:jc w:val="center"/>
              <w:rPr>
                <w:color w:val="000000" w:themeColor="text1"/>
                <w:sz w:val="20"/>
                <w:szCs w:val="20"/>
              </w:rPr>
            </w:pPr>
            <w:r w:rsidRPr="00CF3785">
              <w:rPr>
                <w:b/>
                <w:bCs/>
                <w:color w:val="000000" w:themeColor="text1"/>
              </w:rPr>
              <w:t>P Value, Z</w:t>
            </w:r>
            <w:r>
              <w:rPr>
                <w:b/>
                <w:bCs/>
                <w:color w:val="000000" w:themeColor="text1"/>
              </w:rPr>
              <w:t>-Score</w:t>
            </w:r>
            <w:r w:rsidRPr="00CF3785">
              <w:rPr>
                <w:b/>
                <w:bCs/>
                <w:color w:val="000000" w:themeColor="text1"/>
              </w:rPr>
              <w:t xml:space="preserve"> </w:t>
            </w:r>
          </w:p>
        </w:tc>
      </w:tr>
      <w:tr w:rsidR="004B24BB" w:rsidRPr="00CF3785" w14:paraId="3447C2B4" w14:textId="77777777" w:rsidTr="00BD0483">
        <w:trPr>
          <w:trHeight w:val="320"/>
        </w:trPr>
        <w:tc>
          <w:tcPr>
            <w:tcW w:w="3235" w:type="dxa"/>
            <w:tcBorders>
              <w:right w:val="nil"/>
            </w:tcBorders>
            <w:noWrap/>
            <w:vAlign w:val="bottom"/>
            <w:hideMark/>
          </w:tcPr>
          <w:p w14:paraId="2248AF65" w14:textId="77777777" w:rsidR="004B24BB" w:rsidRPr="00CF3785" w:rsidRDefault="004B24BB" w:rsidP="00893323">
            <w:pPr>
              <w:rPr>
                <w:rFonts w:ascii="Calibri" w:hAnsi="Calibri" w:cs="Calibri"/>
                <w:b/>
                <w:bCs/>
                <w:color w:val="000000" w:themeColor="text1"/>
              </w:rPr>
            </w:pPr>
            <w:r w:rsidRPr="00CF3785">
              <w:rPr>
                <w:rFonts w:ascii="Calibri" w:hAnsi="Calibri" w:cs="Calibri"/>
                <w:b/>
                <w:bCs/>
                <w:color w:val="000000" w:themeColor="text1"/>
              </w:rPr>
              <w:t>CNS Abscess</w:t>
            </w:r>
          </w:p>
        </w:tc>
        <w:tc>
          <w:tcPr>
            <w:tcW w:w="1080" w:type="dxa"/>
            <w:tcBorders>
              <w:left w:val="nil"/>
              <w:right w:val="nil"/>
            </w:tcBorders>
            <w:noWrap/>
            <w:vAlign w:val="bottom"/>
            <w:hideMark/>
          </w:tcPr>
          <w:p w14:paraId="597D6EDC" w14:textId="77777777" w:rsidR="004B24BB" w:rsidRPr="00CF3785" w:rsidRDefault="004B24BB" w:rsidP="00893323">
            <w:pPr>
              <w:rPr>
                <w:rFonts w:ascii="Calibri" w:hAnsi="Calibri" w:cs="Calibri"/>
                <w:b/>
                <w:bCs/>
                <w:color w:val="000000" w:themeColor="text1"/>
              </w:rPr>
            </w:pPr>
          </w:p>
        </w:tc>
        <w:tc>
          <w:tcPr>
            <w:tcW w:w="1260" w:type="dxa"/>
            <w:tcBorders>
              <w:left w:val="nil"/>
              <w:right w:val="nil"/>
            </w:tcBorders>
            <w:noWrap/>
            <w:vAlign w:val="bottom"/>
            <w:hideMark/>
          </w:tcPr>
          <w:p w14:paraId="3C12DE77" w14:textId="77777777" w:rsidR="004B24BB" w:rsidRPr="00CF3785" w:rsidRDefault="004B24BB" w:rsidP="00893323">
            <w:pPr>
              <w:rPr>
                <w:color w:val="000000" w:themeColor="text1"/>
                <w:sz w:val="20"/>
                <w:szCs w:val="20"/>
              </w:rPr>
            </w:pPr>
          </w:p>
        </w:tc>
        <w:tc>
          <w:tcPr>
            <w:tcW w:w="724" w:type="dxa"/>
            <w:tcBorders>
              <w:left w:val="nil"/>
              <w:right w:val="nil"/>
            </w:tcBorders>
            <w:noWrap/>
            <w:vAlign w:val="bottom"/>
            <w:hideMark/>
          </w:tcPr>
          <w:p w14:paraId="3AED4E54" w14:textId="77777777" w:rsidR="004B24BB" w:rsidRPr="00CF3785" w:rsidRDefault="004B24BB" w:rsidP="00893323">
            <w:pPr>
              <w:rPr>
                <w:color w:val="000000" w:themeColor="text1"/>
                <w:sz w:val="20"/>
                <w:szCs w:val="20"/>
              </w:rPr>
            </w:pPr>
          </w:p>
        </w:tc>
        <w:tc>
          <w:tcPr>
            <w:tcW w:w="3326" w:type="dxa"/>
            <w:tcBorders>
              <w:left w:val="nil"/>
              <w:right w:val="nil"/>
            </w:tcBorders>
            <w:noWrap/>
            <w:vAlign w:val="bottom"/>
            <w:hideMark/>
          </w:tcPr>
          <w:p w14:paraId="3CE2B0DA" w14:textId="77777777" w:rsidR="004B24BB" w:rsidRPr="00CF3785" w:rsidRDefault="004B24BB" w:rsidP="001A3690">
            <w:pPr>
              <w:jc w:val="center"/>
              <w:rPr>
                <w:color w:val="000000" w:themeColor="text1"/>
                <w:sz w:val="20"/>
                <w:szCs w:val="20"/>
              </w:rPr>
            </w:pPr>
          </w:p>
        </w:tc>
        <w:tc>
          <w:tcPr>
            <w:tcW w:w="3325" w:type="dxa"/>
            <w:tcBorders>
              <w:left w:val="nil"/>
            </w:tcBorders>
            <w:noWrap/>
            <w:vAlign w:val="bottom"/>
            <w:hideMark/>
          </w:tcPr>
          <w:p w14:paraId="5FA767D8" w14:textId="77777777" w:rsidR="004B24BB" w:rsidRPr="00CF3785" w:rsidRDefault="004B24BB" w:rsidP="00893323">
            <w:pPr>
              <w:jc w:val="center"/>
              <w:rPr>
                <w:color w:val="000000" w:themeColor="text1"/>
                <w:sz w:val="20"/>
                <w:szCs w:val="20"/>
              </w:rPr>
            </w:pPr>
          </w:p>
        </w:tc>
      </w:tr>
      <w:tr w:rsidR="004B24BB" w:rsidRPr="00CF3785" w14:paraId="6860DA9C" w14:textId="77777777" w:rsidTr="001A3690">
        <w:trPr>
          <w:trHeight w:val="320"/>
        </w:trPr>
        <w:tc>
          <w:tcPr>
            <w:tcW w:w="3235" w:type="dxa"/>
            <w:noWrap/>
            <w:vAlign w:val="bottom"/>
            <w:hideMark/>
          </w:tcPr>
          <w:p w14:paraId="4005492F" w14:textId="6EFC1E1A" w:rsidR="004B24BB" w:rsidRPr="00F346F5" w:rsidRDefault="004B24BB" w:rsidP="00893323">
            <w:pPr>
              <w:rPr>
                <w:rFonts w:ascii="Calibri" w:hAnsi="Calibri" w:cs="Calibri"/>
                <w:color w:val="000000" w:themeColor="text1"/>
              </w:rPr>
            </w:pPr>
            <w:r w:rsidRPr="00F346F5">
              <w:rPr>
                <w:rFonts w:ascii="Calibri" w:hAnsi="Calibri" w:cs="Calibri"/>
                <w:color w:val="000000" w:themeColor="text1"/>
              </w:rPr>
              <w:t>Brain abscess</w:t>
            </w:r>
          </w:p>
        </w:tc>
        <w:tc>
          <w:tcPr>
            <w:tcW w:w="1080" w:type="dxa"/>
            <w:noWrap/>
            <w:vAlign w:val="bottom"/>
            <w:hideMark/>
          </w:tcPr>
          <w:p w14:paraId="25D56917"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27</w:t>
            </w:r>
          </w:p>
        </w:tc>
        <w:tc>
          <w:tcPr>
            <w:tcW w:w="1260" w:type="dxa"/>
            <w:noWrap/>
            <w:vAlign w:val="bottom"/>
            <w:hideMark/>
          </w:tcPr>
          <w:p w14:paraId="072D691B"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2</w:t>
            </w:r>
          </w:p>
        </w:tc>
        <w:tc>
          <w:tcPr>
            <w:tcW w:w="724" w:type="dxa"/>
            <w:noWrap/>
            <w:vAlign w:val="bottom"/>
            <w:hideMark/>
          </w:tcPr>
          <w:p w14:paraId="7425EACD"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16</w:t>
            </w:r>
          </w:p>
        </w:tc>
        <w:tc>
          <w:tcPr>
            <w:tcW w:w="3326" w:type="dxa"/>
            <w:noWrap/>
            <w:vAlign w:val="bottom"/>
            <w:hideMark/>
          </w:tcPr>
          <w:p w14:paraId="6DADAAF0"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120 (27.7-522), &lt;0.0001, 6.40</w:t>
            </w:r>
          </w:p>
        </w:tc>
        <w:tc>
          <w:tcPr>
            <w:tcW w:w="3325" w:type="dxa"/>
            <w:noWrap/>
            <w:vAlign w:val="bottom"/>
            <w:hideMark/>
          </w:tcPr>
          <w:p w14:paraId="3A83ABC1"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15.0 (7.56-29.9), &lt;0.0001, 7.72</w:t>
            </w:r>
          </w:p>
        </w:tc>
      </w:tr>
      <w:tr w:rsidR="004B24BB" w:rsidRPr="00CF3785" w14:paraId="565D73EC" w14:textId="77777777" w:rsidTr="001A3690">
        <w:trPr>
          <w:trHeight w:val="320"/>
        </w:trPr>
        <w:tc>
          <w:tcPr>
            <w:tcW w:w="3235" w:type="dxa"/>
            <w:noWrap/>
            <w:vAlign w:val="bottom"/>
          </w:tcPr>
          <w:p w14:paraId="66AF8828" w14:textId="5EAC0BA7" w:rsidR="004B24BB" w:rsidRPr="00F346F5" w:rsidRDefault="004B24BB" w:rsidP="00893323">
            <w:pPr>
              <w:rPr>
                <w:rFonts w:ascii="Calibri" w:hAnsi="Calibri" w:cs="Calibri"/>
                <w:color w:val="000000" w:themeColor="text1"/>
              </w:rPr>
            </w:pPr>
            <w:r w:rsidRPr="00CF3785">
              <w:rPr>
                <w:rFonts w:ascii="Calibri" w:hAnsi="Calibri" w:cs="Calibri"/>
                <w:color w:val="000000" w:themeColor="text1"/>
              </w:rPr>
              <w:t>Extradural abscess</w:t>
            </w:r>
          </w:p>
        </w:tc>
        <w:tc>
          <w:tcPr>
            <w:tcW w:w="1080" w:type="dxa"/>
            <w:noWrap/>
            <w:vAlign w:val="bottom"/>
          </w:tcPr>
          <w:p w14:paraId="77075F8A"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19</w:t>
            </w:r>
          </w:p>
        </w:tc>
        <w:tc>
          <w:tcPr>
            <w:tcW w:w="1260" w:type="dxa"/>
            <w:noWrap/>
            <w:vAlign w:val="bottom"/>
          </w:tcPr>
          <w:p w14:paraId="70E91862"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1</w:t>
            </w:r>
          </w:p>
        </w:tc>
        <w:tc>
          <w:tcPr>
            <w:tcW w:w="724" w:type="dxa"/>
            <w:noWrap/>
            <w:vAlign w:val="bottom"/>
          </w:tcPr>
          <w:p w14:paraId="39594CFB"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6</w:t>
            </w:r>
          </w:p>
        </w:tc>
        <w:tc>
          <w:tcPr>
            <w:tcW w:w="3326" w:type="dxa"/>
            <w:noWrap/>
            <w:vAlign w:val="bottom"/>
          </w:tcPr>
          <w:p w14:paraId="31EB09E2"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169 (22.2-1290), &lt;0.0001, 4.95</w:t>
            </w:r>
          </w:p>
        </w:tc>
        <w:tc>
          <w:tcPr>
            <w:tcW w:w="3325" w:type="dxa"/>
            <w:noWrap/>
            <w:vAlign w:val="bottom"/>
          </w:tcPr>
          <w:p w14:paraId="20E6EEA2"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28.2 (10.7-74.2), &lt;0.0001, 6.78</w:t>
            </w:r>
          </w:p>
        </w:tc>
      </w:tr>
      <w:tr w:rsidR="004B24BB" w:rsidRPr="00CF3785" w14:paraId="7634BC9A" w14:textId="77777777" w:rsidTr="001A3690">
        <w:trPr>
          <w:trHeight w:val="320"/>
        </w:trPr>
        <w:tc>
          <w:tcPr>
            <w:tcW w:w="3235" w:type="dxa"/>
            <w:noWrap/>
            <w:vAlign w:val="bottom"/>
            <w:hideMark/>
          </w:tcPr>
          <w:p w14:paraId="5A3511FB" w14:textId="7B188C63" w:rsidR="004B24BB" w:rsidRPr="00CF3785" w:rsidRDefault="004B24BB" w:rsidP="00893323">
            <w:pPr>
              <w:rPr>
                <w:rFonts w:ascii="Calibri" w:hAnsi="Calibri" w:cs="Calibri"/>
                <w:color w:val="000000" w:themeColor="text1"/>
              </w:rPr>
            </w:pPr>
            <w:r w:rsidRPr="00CF3785">
              <w:rPr>
                <w:rFonts w:ascii="Calibri" w:hAnsi="Calibri" w:cs="Calibri"/>
                <w:color w:val="000000" w:themeColor="text1"/>
              </w:rPr>
              <w:t>Spinal cord abscess</w:t>
            </w:r>
          </w:p>
        </w:tc>
        <w:tc>
          <w:tcPr>
            <w:tcW w:w="1080" w:type="dxa"/>
            <w:noWrap/>
            <w:vAlign w:val="bottom"/>
            <w:hideMark/>
          </w:tcPr>
          <w:p w14:paraId="40FF9D94"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10</w:t>
            </w:r>
          </w:p>
        </w:tc>
        <w:tc>
          <w:tcPr>
            <w:tcW w:w="1260" w:type="dxa"/>
            <w:noWrap/>
            <w:vAlign w:val="bottom"/>
            <w:hideMark/>
          </w:tcPr>
          <w:p w14:paraId="294D16FA"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1</w:t>
            </w:r>
          </w:p>
        </w:tc>
        <w:tc>
          <w:tcPr>
            <w:tcW w:w="724" w:type="dxa"/>
            <w:noWrap/>
            <w:vAlign w:val="bottom"/>
            <w:hideMark/>
          </w:tcPr>
          <w:p w14:paraId="0D7730FE"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5</w:t>
            </w:r>
          </w:p>
        </w:tc>
        <w:tc>
          <w:tcPr>
            <w:tcW w:w="3326" w:type="dxa"/>
            <w:noWrap/>
            <w:vAlign w:val="bottom"/>
            <w:hideMark/>
          </w:tcPr>
          <w:p w14:paraId="309F2E48"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89.1 (11.2-712), &lt;0.0001, 4.24</w:t>
            </w:r>
          </w:p>
        </w:tc>
        <w:tc>
          <w:tcPr>
            <w:tcW w:w="3325" w:type="dxa"/>
            <w:noWrap/>
            <w:vAlign w:val="bottom"/>
            <w:hideMark/>
          </w:tcPr>
          <w:p w14:paraId="65BF47DC"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17.8 (5.85-54.4), &lt;0.0001, 5.06</w:t>
            </w:r>
          </w:p>
        </w:tc>
      </w:tr>
      <w:tr w:rsidR="004B24BB" w:rsidRPr="00CF3785" w14:paraId="4A8D8DA1" w14:textId="77777777" w:rsidTr="001A3690">
        <w:trPr>
          <w:trHeight w:val="320"/>
        </w:trPr>
        <w:tc>
          <w:tcPr>
            <w:tcW w:w="3235" w:type="dxa"/>
            <w:noWrap/>
            <w:vAlign w:val="bottom"/>
            <w:hideMark/>
          </w:tcPr>
          <w:p w14:paraId="60345F8C" w14:textId="1CC14F37" w:rsidR="004B24BB" w:rsidRPr="00CF3785" w:rsidRDefault="004B24BB" w:rsidP="00893323">
            <w:pPr>
              <w:rPr>
                <w:rFonts w:ascii="Calibri" w:hAnsi="Calibri" w:cs="Calibri"/>
                <w:color w:val="000000" w:themeColor="text1"/>
              </w:rPr>
            </w:pPr>
            <w:r w:rsidRPr="00CF3785">
              <w:rPr>
                <w:rFonts w:ascii="Calibri" w:hAnsi="Calibri" w:cs="Calibri"/>
                <w:color w:val="000000" w:themeColor="text1"/>
              </w:rPr>
              <w:t>Subdural abscess</w:t>
            </w:r>
          </w:p>
        </w:tc>
        <w:tc>
          <w:tcPr>
            <w:tcW w:w="1080" w:type="dxa"/>
            <w:noWrap/>
            <w:vAlign w:val="bottom"/>
            <w:hideMark/>
          </w:tcPr>
          <w:p w14:paraId="54426496"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4</w:t>
            </w:r>
          </w:p>
        </w:tc>
        <w:tc>
          <w:tcPr>
            <w:tcW w:w="1260" w:type="dxa"/>
            <w:noWrap/>
            <w:vAlign w:val="bottom"/>
            <w:hideMark/>
          </w:tcPr>
          <w:p w14:paraId="1219A975"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1</w:t>
            </w:r>
          </w:p>
        </w:tc>
        <w:tc>
          <w:tcPr>
            <w:tcW w:w="724" w:type="dxa"/>
            <w:noWrap/>
            <w:vAlign w:val="bottom"/>
            <w:hideMark/>
          </w:tcPr>
          <w:p w14:paraId="7D86B49C"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3</w:t>
            </w:r>
          </w:p>
        </w:tc>
        <w:tc>
          <w:tcPr>
            <w:tcW w:w="3326" w:type="dxa"/>
            <w:noWrap/>
            <w:vAlign w:val="bottom"/>
            <w:hideMark/>
          </w:tcPr>
          <w:p w14:paraId="33CBACF9"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35.7 (3.90-326), =0.0015, 3.17</w:t>
            </w:r>
          </w:p>
        </w:tc>
        <w:tc>
          <w:tcPr>
            <w:tcW w:w="3325" w:type="dxa"/>
            <w:noWrap/>
            <w:vAlign w:val="bottom"/>
            <w:hideMark/>
          </w:tcPr>
          <w:p w14:paraId="27B7A04E"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11.9 (2.58-54.7), =0.0015, 3.18</w:t>
            </w:r>
          </w:p>
        </w:tc>
      </w:tr>
      <w:tr w:rsidR="004B24BB" w:rsidRPr="00CF3785" w14:paraId="443EAA65" w14:textId="77777777" w:rsidTr="001A3690">
        <w:trPr>
          <w:trHeight w:val="320"/>
        </w:trPr>
        <w:tc>
          <w:tcPr>
            <w:tcW w:w="3235" w:type="dxa"/>
            <w:noWrap/>
            <w:vAlign w:val="bottom"/>
            <w:hideMark/>
          </w:tcPr>
          <w:p w14:paraId="337F234B" w14:textId="77777777" w:rsidR="004B24BB" w:rsidRPr="00CF3785" w:rsidRDefault="004B24BB" w:rsidP="00893323">
            <w:pPr>
              <w:rPr>
                <w:rFonts w:ascii="Calibri" w:hAnsi="Calibri" w:cs="Calibri"/>
                <w:b/>
                <w:bCs/>
                <w:color w:val="000000" w:themeColor="text1"/>
              </w:rPr>
            </w:pPr>
            <w:r w:rsidRPr="00CF3785">
              <w:rPr>
                <w:rFonts w:ascii="Calibri" w:hAnsi="Calibri" w:cs="Calibri"/>
                <w:b/>
                <w:bCs/>
                <w:color w:val="000000" w:themeColor="text1"/>
              </w:rPr>
              <w:t>Total CNS Abscess</w:t>
            </w:r>
          </w:p>
        </w:tc>
        <w:tc>
          <w:tcPr>
            <w:tcW w:w="1080" w:type="dxa"/>
            <w:noWrap/>
            <w:vAlign w:val="bottom"/>
            <w:hideMark/>
          </w:tcPr>
          <w:p w14:paraId="2F79CADD" w14:textId="77777777" w:rsidR="004B24BB" w:rsidRPr="00CF3785" w:rsidRDefault="004B24BB" w:rsidP="00893323">
            <w:pPr>
              <w:jc w:val="right"/>
              <w:rPr>
                <w:rFonts w:ascii="Calibri" w:hAnsi="Calibri" w:cs="Calibri"/>
                <w:b/>
                <w:bCs/>
                <w:color w:val="000000" w:themeColor="text1"/>
              </w:rPr>
            </w:pPr>
            <w:r w:rsidRPr="00CF3785">
              <w:rPr>
                <w:rFonts w:ascii="Calibri" w:hAnsi="Calibri" w:cs="Calibri"/>
                <w:b/>
                <w:bCs/>
                <w:color w:val="000000" w:themeColor="text1"/>
              </w:rPr>
              <w:t>60</w:t>
            </w:r>
          </w:p>
        </w:tc>
        <w:tc>
          <w:tcPr>
            <w:tcW w:w="1260" w:type="dxa"/>
            <w:noWrap/>
            <w:vAlign w:val="bottom"/>
            <w:hideMark/>
          </w:tcPr>
          <w:p w14:paraId="6E685939" w14:textId="77777777" w:rsidR="004B24BB" w:rsidRPr="00CF3785" w:rsidRDefault="004B24BB" w:rsidP="00893323">
            <w:pPr>
              <w:jc w:val="right"/>
              <w:rPr>
                <w:rFonts w:ascii="Calibri" w:hAnsi="Calibri" w:cs="Calibri"/>
                <w:b/>
                <w:bCs/>
                <w:color w:val="000000" w:themeColor="text1"/>
              </w:rPr>
            </w:pPr>
            <w:r w:rsidRPr="00CF3785">
              <w:rPr>
                <w:rFonts w:ascii="Calibri" w:hAnsi="Calibri" w:cs="Calibri"/>
                <w:b/>
                <w:bCs/>
                <w:color w:val="000000" w:themeColor="text1"/>
              </w:rPr>
              <w:t>5</w:t>
            </w:r>
          </w:p>
        </w:tc>
        <w:tc>
          <w:tcPr>
            <w:tcW w:w="724" w:type="dxa"/>
            <w:noWrap/>
            <w:vAlign w:val="bottom"/>
            <w:hideMark/>
          </w:tcPr>
          <w:p w14:paraId="3433D0DA" w14:textId="77777777" w:rsidR="004B24BB" w:rsidRPr="00CF3785" w:rsidRDefault="004B24BB" w:rsidP="00893323">
            <w:pPr>
              <w:jc w:val="right"/>
              <w:rPr>
                <w:rFonts w:ascii="Calibri" w:hAnsi="Calibri" w:cs="Calibri"/>
                <w:b/>
                <w:bCs/>
                <w:color w:val="000000" w:themeColor="text1"/>
              </w:rPr>
            </w:pPr>
            <w:r w:rsidRPr="00CF3785">
              <w:rPr>
                <w:rFonts w:ascii="Calibri" w:hAnsi="Calibri" w:cs="Calibri"/>
                <w:b/>
                <w:bCs/>
                <w:color w:val="000000" w:themeColor="text1"/>
              </w:rPr>
              <w:t>30</w:t>
            </w:r>
          </w:p>
        </w:tc>
        <w:tc>
          <w:tcPr>
            <w:tcW w:w="3326" w:type="dxa"/>
            <w:noWrap/>
            <w:vAlign w:val="bottom"/>
            <w:hideMark/>
          </w:tcPr>
          <w:p w14:paraId="42DFF950" w14:textId="77777777" w:rsidR="004B24BB" w:rsidRPr="00CF3785" w:rsidRDefault="004B24BB" w:rsidP="00893323">
            <w:pPr>
              <w:jc w:val="center"/>
              <w:rPr>
                <w:rFonts w:ascii="Calibri" w:hAnsi="Calibri" w:cs="Calibri"/>
                <w:b/>
                <w:bCs/>
                <w:color w:val="000000" w:themeColor="text1"/>
              </w:rPr>
            </w:pPr>
            <w:r w:rsidRPr="00CF3785">
              <w:rPr>
                <w:rFonts w:ascii="Calibri" w:hAnsi="Calibri" w:cs="Calibri"/>
                <w:b/>
                <w:bCs/>
                <w:color w:val="000000" w:themeColor="text1"/>
              </w:rPr>
              <w:t>107 (40.9-280), &lt;0.0001, 9.53</w:t>
            </w:r>
          </w:p>
        </w:tc>
        <w:tc>
          <w:tcPr>
            <w:tcW w:w="3325" w:type="dxa"/>
            <w:noWrap/>
            <w:vAlign w:val="bottom"/>
            <w:hideMark/>
          </w:tcPr>
          <w:p w14:paraId="256C3BCB" w14:textId="77777777" w:rsidR="004B24BB" w:rsidRPr="00CF3785" w:rsidRDefault="004B24BB" w:rsidP="00893323">
            <w:pPr>
              <w:jc w:val="center"/>
              <w:rPr>
                <w:rFonts w:ascii="Calibri" w:hAnsi="Calibri" w:cs="Calibri"/>
                <w:b/>
                <w:bCs/>
                <w:color w:val="000000" w:themeColor="text1"/>
              </w:rPr>
            </w:pPr>
            <w:r w:rsidRPr="00CF3785">
              <w:rPr>
                <w:rFonts w:ascii="Calibri" w:hAnsi="Calibri" w:cs="Calibri"/>
                <w:b/>
                <w:bCs/>
                <w:color w:val="000000" w:themeColor="text1"/>
              </w:rPr>
              <w:t>17.8 (10.5-30.4), &lt;0.0001, 10.6</w:t>
            </w:r>
          </w:p>
        </w:tc>
      </w:tr>
    </w:tbl>
    <w:p w14:paraId="3227952A" w14:textId="77777777" w:rsidR="004616B4" w:rsidRPr="00CF3785" w:rsidRDefault="004616B4" w:rsidP="00045BC5">
      <w:pPr>
        <w:rPr>
          <w:color w:val="000000" w:themeColor="text1"/>
        </w:rPr>
      </w:pPr>
    </w:p>
    <w:p w14:paraId="316867DC" w14:textId="77777777" w:rsidR="004616B4" w:rsidRPr="00CF3785" w:rsidRDefault="004616B4" w:rsidP="00045BC5">
      <w:pPr>
        <w:rPr>
          <w:color w:val="000000" w:themeColor="text1"/>
        </w:rPr>
      </w:pPr>
    </w:p>
    <w:p w14:paraId="476D0960" w14:textId="77777777" w:rsidR="00910F62" w:rsidRPr="00CF3785" w:rsidRDefault="00910F62" w:rsidP="00045BC5">
      <w:pPr>
        <w:rPr>
          <w:color w:val="000000" w:themeColor="text1"/>
        </w:rPr>
      </w:pPr>
    </w:p>
    <w:p w14:paraId="706B91A3" w14:textId="77777777" w:rsidR="00910F62" w:rsidRPr="00CF3785" w:rsidRDefault="00910F62" w:rsidP="00045BC5">
      <w:pPr>
        <w:rPr>
          <w:color w:val="000000" w:themeColor="text1"/>
        </w:rPr>
      </w:pPr>
    </w:p>
    <w:p w14:paraId="0B76C998" w14:textId="77777777" w:rsidR="007023F7" w:rsidRDefault="007023F7" w:rsidP="00045BC5">
      <w:pPr>
        <w:rPr>
          <w:b/>
          <w:bCs/>
          <w:color w:val="000000" w:themeColor="text1"/>
          <w:u w:val="single"/>
        </w:rPr>
      </w:pPr>
    </w:p>
    <w:p w14:paraId="7F32B859" w14:textId="77777777" w:rsidR="007023F7" w:rsidRDefault="007023F7" w:rsidP="00045BC5">
      <w:pPr>
        <w:rPr>
          <w:b/>
          <w:bCs/>
          <w:color w:val="000000" w:themeColor="text1"/>
          <w:u w:val="single"/>
        </w:rPr>
      </w:pPr>
    </w:p>
    <w:p w14:paraId="42E4634B" w14:textId="77777777" w:rsidR="001A3690" w:rsidRDefault="001A3690" w:rsidP="00045BC5">
      <w:pPr>
        <w:rPr>
          <w:b/>
          <w:bCs/>
          <w:color w:val="000000" w:themeColor="text1"/>
          <w:u w:val="single"/>
        </w:rPr>
      </w:pPr>
    </w:p>
    <w:p w14:paraId="17D0BF59" w14:textId="77777777" w:rsidR="001A3690" w:rsidRDefault="001A3690" w:rsidP="00045BC5">
      <w:pPr>
        <w:rPr>
          <w:b/>
          <w:bCs/>
          <w:color w:val="000000" w:themeColor="text1"/>
          <w:u w:val="single"/>
        </w:rPr>
      </w:pPr>
    </w:p>
    <w:p w14:paraId="262E832F" w14:textId="77777777" w:rsidR="001A3690" w:rsidRDefault="001A3690" w:rsidP="00045BC5">
      <w:pPr>
        <w:rPr>
          <w:b/>
          <w:bCs/>
          <w:color w:val="000000" w:themeColor="text1"/>
          <w:u w:val="single"/>
        </w:rPr>
      </w:pPr>
    </w:p>
    <w:p w14:paraId="633AE278" w14:textId="55CBD8F3" w:rsidR="004616B4" w:rsidRPr="00CF3785" w:rsidRDefault="00C565AF" w:rsidP="00045BC5">
      <w:pPr>
        <w:rPr>
          <w:color w:val="000000" w:themeColor="text1"/>
        </w:rPr>
      </w:pPr>
      <w:r>
        <w:t xml:space="preserve">Table 4. Uncommon Neurological Diseases Reported to VAERS Following COVID-19 Vaccination Compared </w:t>
      </w:r>
      <w:proofErr w:type="gramStart"/>
      <w:r>
        <w:t>With</w:t>
      </w:r>
      <w:proofErr w:type="gramEnd"/>
      <w:r>
        <w:t xml:space="preserve"> Influenza and All Other Vaccines</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083"/>
        <w:gridCol w:w="1260"/>
        <w:gridCol w:w="917"/>
        <w:gridCol w:w="3158"/>
        <w:gridCol w:w="3300"/>
      </w:tblGrid>
      <w:tr w:rsidR="004B24BB" w:rsidRPr="00CF3785" w14:paraId="7BFF4A0C" w14:textId="77777777" w:rsidTr="00BD0483">
        <w:trPr>
          <w:trHeight w:val="320"/>
        </w:trPr>
        <w:tc>
          <w:tcPr>
            <w:tcW w:w="3232" w:type="dxa"/>
            <w:noWrap/>
            <w:vAlign w:val="bottom"/>
          </w:tcPr>
          <w:p w14:paraId="1D29B49D" w14:textId="77777777" w:rsidR="004B24BB" w:rsidRPr="00CF3785" w:rsidRDefault="004B24BB" w:rsidP="00893323">
            <w:pPr>
              <w:rPr>
                <w:rFonts w:ascii="Calibri" w:hAnsi="Calibri" w:cs="Calibri"/>
                <w:b/>
                <w:bCs/>
                <w:color w:val="000000" w:themeColor="text1"/>
              </w:rPr>
            </w:pPr>
          </w:p>
        </w:tc>
        <w:tc>
          <w:tcPr>
            <w:tcW w:w="1083" w:type="dxa"/>
            <w:vAlign w:val="bottom"/>
          </w:tcPr>
          <w:p w14:paraId="6402BEBA" w14:textId="77777777" w:rsidR="004B24BB" w:rsidRPr="00CF3785" w:rsidRDefault="004B24BB" w:rsidP="00893323">
            <w:pPr>
              <w:rPr>
                <w:rFonts w:ascii="Calibri" w:hAnsi="Calibri" w:cs="Calibri"/>
                <w:b/>
                <w:bCs/>
                <w:color w:val="000000" w:themeColor="text1"/>
              </w:rPr>
            </w:pPr>
            <w:r w:rsidRPr="00CF3785">
              <w:rPr>
                <w:b/>
                <w:bCs/>
                <w:color w:val="000000" w:themeColor="text1"/>
              </w:rPr>
              <w:t xml:space="preserve">COVID </w:t>
            </w:r>
          </w:p>
        </w:tc>
        <w:tc>
          <w:tcPr>
            <w:tcW w:w="1260" w:type="dxa"/>
            <w:vAlign w:val="bottom"/>
          </w:tcPr>
          <w:p w14:paraId="585BE1A7" w14:textId="77777777" w:rsidR="004B24BB" w:rsidRPr="00CF3785" w:rsidRDefault="004B24BB" w:rsidP="00893323">
            <w:pPr>
              <w:rPr>
                <w:rFonts w:ascii="Calibri" w:hAnsi="Calibri" w:cs="Calibri"/>
                <w:b/>
                <w:bCs/>
                <w:color w:val="000000" w:themeColor="text1"/>
              </w:rPr>
            </w:pPr>
            <w:r w:rsidRPr="00CF3785">
              <w:rPr>
                <w:b/>
                <w:bCs/>
                <w:color w:val="000000" w:themeColor="text1"/>
              </w:rPr>
              <w:t>Influenza</w:t>
            </w:r>
          </w:p>
        </w:tc>
        <w:tc>
          <w:tcPr>
            <w:tcW w:w="917" w:type="dxa"/>
            <w:tcBorders>
              <w:bottom w:val="single" w:sz="4" w:space="0" w:color="auto"/>
            </w:tcBorders>
            <w:noWrap/>
            <w:vAlign w:val="bottom"/>
          </w:tcPr>
          <w:p w14:paraId="57EC95B7" w14:textId="77777777" w:rsidR="004B24BB" w:rsidRPr="00CF3785" w:rsidRDefault="004B24BB" w:rsidP="001A3690">
            <w:pPr>
              <w:jc w:val="center"/>
              <w:rPr>
                <w:rFonts w:ascii="Calibri" w:hAnsi="Calibri" w:cs="Calibri"/>
                <w:b/>
                <w:bCs/>
                <w:color w:val="000000" w:themeColor="text1"/>
              </w:rPr>
            </w:pPr>
            <w:r w:rsidRPr="00CF3785">
              <w:rPr>
                <w:b/>
                <w:bCs/>
                <w:color w:val="000000" w:themeColor="text1"/>
              </w:rPr>
              <w:t>All Vax</w:t>
            </w:r>
          </w:p>
        </w:tc>
        <w:tc>
          <w:tcPr>
            <w:tcW w:w="3158" w:type="dxa"/>
            <w:tcBorders>
              <w:bottom w:val="single" w:sz="4" w:space="0" w:color="auto"/>
            </w:tcBorders>
            <w:noWrap/>
            <w:vAlign w:val="bottom"/>
          </w:tcPr>
          <w:p w14:paraId="2A38635A" w14:textId="067E3942" w:rsidR="004B24BB" w:rsidRPr="00CF3785" w:rsidRDefault="004B24BB" w:rsidP="001A3690">
            <w:pPr>
              <w:jc w:val="center"/>
              <w:rPr>
                <w:color w:val="000000" w:themeColor="text1"/>
                <w:sz w:val="20"/>
                <w:szCs w:val="20"/>
              </w:rPr>
            </w:pPr>
            <w:r w:rsidRPr="00CF3785">
              <w:rPr>
                <w:b/>
                <w:bCs/>
                <w:color w:val="000000" w:themeColor="text1"/>
              </w:rPr>
              <w:t xml:space="preserve">COVID vs Flu Vax </w:t>
            </w:r>
            <w:r>
              <w:rPr>
                <w:b/>
                <w:bCs/>
                <w:color w:val="000000" w:themeColor="text1"/>
              </w:rPr>
              <w:t>OR</w:t>
            </w:r>
            <w:r w:rsidRPr="00CF3785">
              <w:rPr>
                <w:b/>
                <w:bCs/>
                <w:color w:val="000000" w:themeColor="text1"/>
              </w:rPr>
              <w:t xml:space="preserve"> (95% Confidence Interval), P Value, Z</w:t>
            </w:r>
            <w:r>
              <w:rPr>
                <w:b/>
                <w:bCs/>
                <w:color w:val="000000" w:themeColor="text1"/>
              </w:rPr>
              <w:t>-Score</w:t>
            </w:r>
          </w:p>
        </w:tc>
        <w:tc>
          <w:tcPr>
            <w:tcW w:w="3300" w:type="dxa"/>
            <w:tcBorders>
              <w:bottom w:val="single" w:sz="4" w:space="0" w:color="auto"/>
            </w:tcBorders>
            <w:noWrap/>
            <w:vAlign w:val="bottom"/>
          </w:tcPr>
          <w:p w14:paraId="562A7106" w14:textId="77777777" w:rsidR="007023F7" w:rsidRDefault="004B24BB" w:rsidP="007023F7">
            <w:pPr>
              <w:jc w:val="center"/>
              <w:rPr>
                <w:b/>
                <w:bCs/>
                <w:color w:val="000000" w:themeColor="text1"/>
              </w:rPr>
            </w:pPr>
            <w:r w:rsidRPr="00CF3785">
              <w:rPr>
                <w:b/>
                <w:bCs/>
                <w:color w:val="000000" w:themeColor="text1"/>
              </w:rPr>
              <w:t xml:space="preserve">COVID vs All Vax </w:t>
            </w:r>
            <w:r>
              <w:rPr>
                <w:b/>
                <w:bCs/>
                <w:color w:val="000000" w:themeColor="text1"/>
              </w:rPr>
              <w:t>OR</w:t>
            </w:r>
            <w:r w:rsidRPr="00CF3785">
              <w:rPr>
                <w:b/>
                <w:bCs/>
                <w:color w:val="000000" w:themeColor="text1"/>
              </w:rPr>
              <w:t xml:space="preserve"> </w:t>
            </w:r>
          </w:p>
          <w:p w14:paraId="6AACE1F2" w14:textId="3A6BD72B" w:rsidR="007023F7" w:rsidRDefault="004B24BB" w:rsidP="007023F7">
            <w:pPr>
              <w:jc w:val="center"/>
              <w:rPr>
                <w:b/>
                <w:bCs/>
                <w:color w:val="000000" w:themeColor="text1"/>
              </w:rPr>
            </w:pPr>
            <w:r w:rsidRPr="00CF3785">
              <w:rPr>
                <w:b/>
                <w:bCs/>
                <w:color w:val="000000" w:themeColor="text1"/>
              </w:rPr>
              <w:t xml:space="preserve">(95% Confidence Interval), </w:t>
            </w:r>
          </w:p>
          <w:p w14:paraId="50482D51" w14:textId="1DC6B224" w:rsidR="004B24BB" w:rsidRPr="00CF3785" w:rsidRDefault="004B24BB" w:rsidP="001A3690">
            <w:pPr>
              <w:jc w:val="center"/>
              <w:rPr>
                <w:color w:val="000000" w:themeColor="text1"/>
                <w:sz w:val="20"/>
                <w:szCs w:val="20"/>
              </w:rPr>
            </w:pPr>
            <w:r w:rsidRPr="00CF3785">
              <w:rPr>
                <w:b/>
                <w:bCs/>
                <w:color w:val="000000" w:themeColor="text1"/>
              </w:rPr>
              <w:t>P Value, Z</w:t>
            </w:r>
            <w:r>
              <w:rPr>
                <w:b/>
                <w:bCs/>
                <w:color w:val="000000" w:themeColor="text1"/>
              </w:rPr>
              <w:t>-Score</w:t>
            </w:r>
          </w:p>
        </w:tc>
      </w:tr>
      <w:tr w:rsidR="004B24BB" w:rsidRPr="00CF3785" w14:paraId="7C80787B" w14:textId="77777777" w:rsidTr="00BD0483">
        <w:trPr>
          <w:trHeight w:val="320"/>
        </w:trPr>
        <w:tc>
          <w:tcPr>
            <w:tcW w:w="5575" w:type="dxa"/>
            <w:gridSpan w:val="3"/>
            <w:tcBorders>
              <w:right w:val="nil"/>
            </w:tcBorders>
            <w:noWrap/>
            <w:vAlign w:val="bottom"/>
            <w:hideMark/>
          </w:tcPr>
          <w:p w14:paraId="0BC8B575" w14:textId="08066C32" w:rsidR="004B24BB" w:rsidRPr="00CF3785" w:rsidRDefault="004B24BB" w:rsidP="00893323">
            <w:pPr>
              <w:rPr>
                <w:rFonts w:ascii="Calibri" w:hAnsi="Calibri" w:cs="Calibri"/>
                <w:b/>
                <w:bCs/>
                <w:color w:val="000000" w:themeColor="text1"/>
              </w:rPr>
            </w:pPr>
            <w:r w:rsidRPr="003A0B8D">
              <w:rPr>
                <w:rFonts w:ascii="Calibri" w:hAnsi="Calibri" w:cs="Calibri"/>
                <w:b/>
                <w:bCs/>
                <w:color w:val="000000" w:themeColor="text1"/>
              </w:rPr>
              <w:t>Uncommon</w:t>
            </w:r>
            <w:r w:rsidRPr="00CF3785">
              <w:rPr>
                <w:rFonts w:ascii="Calibri" w:hAnsi="Calibri" w:cs="Calibri"/>
                <w:b/>
                <w:bCs/>
                <w:color w:val="000000" w:themeColor="text1"/>
              </w:rPr>
              <w:t xml:space="preserve"> </w:t>
            </w:r>
            <w:r w:rsidR="007023F7">
              <w:rPr>
                <w:rFonts w:ascii="Calibri" w:hAnsi="Calibri" w:cs="Calibri"/>
                <w:b/>
                <w:bCs/>
                <w:color w:val="000000" w:themeColor="text1"/>
              </w:rPr>
              <w:t>N</w:t>
            </w:r>
            <w:r>
              <w:rPr>
                <w:rFonts w:ascii="Calibri" w:hAnsi="Calibri" w:cs="Calibri"/>
                <w:b/>
                <w:bCs/>
                <w:color w:val="000000" w:themeColor="text1"/>
              </w:rPr>
              <w:t xml:space="preserve">eurological </w:t>
            </w:r>
            <w:r w:rsidR="007023F7">
              <w:rPr>
                <w:rFonts w:ascii="Calibri" w:hAnsi="Calibri" w:cs="Calibri"/>
                <w:b/>
                <w:bCs/>
                <w:color w:val="000000" w:themeColor="text1"/>
              </w:rPr>
              <w:t>D</w:t>
            </w:r>
            <w:r w:rsidRPr="00CF3785">
              <w:rPr>
                <w:rFonts w:ascii="Calibri" w:hAnsi="Calibri" w:cs="Calibri"/>
                <w:b/>
                <w:bCs/>
                <w:color w:val="000000" w:themeColor="text1"/>
              </w:rPr>
              <w:t>isease</w:t>
            </w:r>
          </w:p>
        </w:tc>
        <w:tc>
          <w:tcPr>
            <w:tcW w:w="917" w:type="dxa"/>
            <w:tcBorders>
              <w:left w:val="nil"/>
              <w:right w:val="nil"/>
            </w:tcBorders>
            <w:noWrap/>
            <w:vAlign w:val="bottom"/>
            <w:hideMark/>
          </w:tcPr>
          <w:p w14:paraId="2DE6102A" w14:textId="77777777" w:rsidR="004B24BB" w:rsidRPr="00CF3785" w:rsidRDefault="004B24BB" w:rsidP="00893323">
            <w:pPr>
              <w:rPr>
                <w:rFonts w:ascii="Calibri" w:hAnsi="Calibri" w:cs="Calibri"/>
                <w:b/>
                <w:bCs/>
                <w:color w:val="000000" w:themeColor="text1"/>
              </w:rPr>
            </w:pPr>
          </w:p>
        </w:tc>
        <w:tc>
          <w:tcPr>
            <w:tcW w:w="3158" w:type="dxa"/>
            <w:tcBorders>
              <w:left w:val="nil"/>
              <w:right w:val="nil"/>
            </w:tcBorders>
            <w:noWrap/>
            <w:vAlign w:val="bottom"/>
            <w:hideMark/>
          </w:tcPr>
          <w:p w14:paraId="6E06D9BF" w14:textId="77777777" w:rsidR="004B24BB" w:rsidRPr="00CF3785" w:rsidRDefault="004B24BB" w:rsidP="00893323">
            <w:pPr>
              <w:rPr>
                <w:color w:val="000000" w:themeColor="text1"/>
                <w:sz w:val="20"/>
                <w:szCs w:val="20"/>
              </w:rPr>
            </w:pPr>
          </w:p>
        </w:tc>
        <w:tc>
          <w:tcPr>
            <w:tcW w:w="3300" w:type="dxa"/>
            <w:tcBorders>
              <w:left w:val="nil"/>
            </w:tcBorders>
            <w:noWrap/>
            <w:vAlign w:val="bottom"/>
            <w:hideMark/>
          </w:tcPr>
          <w:p w14:paraId="17DC60F6" w14:textId="77777777" w:rsidR="004B24BB" w:rsidRPr="00CF3785" w:rsidRDefault="004B24BB" w:rsidP="00893323">
            <w:pPr>
              <w:rPr>
                <w:color w:val="000000" w:themeColor="text1"/>
                <w:sz w:val="20"/>
                <w:szCs w:val="20"/>
              </w:rPr>
            </w:pPr>
          </w:p>
        </w:tc>
      </w:tr>
      <w:tr w:rsidR="004B24BB" w:rsidRPr="00CF3785" w14:paraId="1F8AFD49" w14:textId="77777777" w:rsidTr="00893323">
        <w:trPr>
          <w:trHeight w:val="320"/>
        </w:trPr>
        <w:tc>
          <w:tcPr>
            <w:tcW w:w="3232" w:type="dxa"/>
            <w:noWrap/>
            <w:vAlign w:val="bottom"/>
            <w:hideMark/>
          </w:tcPr>
          <w:p w14:paraId="679B12F2" w14:textId="79717368" w:rsidR="004B24BB" w:rsidRPr="00CF3785" w:rsidRDefault="004B24BB" w:rsidP="00893323">
            <w:pPr>
              <w:rPr>
                <w:rFonts w:ascii="Calibri" w:hAnsi="Calibri" w:cs="Calibri"/>
                <w:color w:val="000000" w:themeColor="text1"/>
              </w:rPr>
            </w:pPr>
            <w:r w:rsidRPr="00CF3785">
              <w:rPr>
                <w:rFonts w:ascii="Calibri" w:hAnsi="Calibri" w:cs="Calibri"/>
                <w:color w:val="000000" w:themeColor="text1"/>
              </w:rPr>
              <w:t xml:space="preserve">Creutzfeldt-Jakob disease </w:t>
            </w:r>
          </w:p>
        </w:tc>
        <w:tc>
          <w:tcPr>
            <w:tcW w:w="1083" w:type="dxa"/>
            <w:noWrap/>
            <w:vAlign w:val="bottom"/>
            <w:hideMark/>
          </w:tcPr>
          <w:p w14:paraId="4332CF51"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95</w:t>
            </w:r>
          </w:p>
        </w:tc>
        <w:tc>
          <w:tcPr>
            <w:tcW w:w="1260" w:type="dxa"/>
            <w:noWrap/>
            <w:vAlign w:val="bottom"/>
            <w:hideMark/>
          </w:tcPr>
          <w:p w14:paraId="0F482481"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1</w:t>
            </w:r>
          </w:p>
        </w:tc>
        <w:tc>
          <w:tcPr>
            <w:tcW w:w="917" w:type="dxa"/>
            <w:noWrap/>
            <w:vAlign w:val="bottom"/>
            <w:hideMark/>
          </w:tcPr>
          <w:p w14:paraId="5DAD26AD"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5</w:t>
            </w:r>
          </w:p>
        </w:tc>
        <w:tc>
          <w:tcPr>
            <w:tcW w:w="3158" w:type="dxa"/>
            <w:noWrap/>
            <w:vAlign w:val="bottom"/>
            <w:hideMark/>
          </w:tcPr>
          <w:p w14:paraId="56B1B56E"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847 (115-6220), &lt;0.0001, 6.63</w:t>
            </w:r>
          </w:p>
        </w:tc>
        <w:tc>
          <w:tcPr>
            <w:tcW w:w="3300" w:type="dxa"/>
            <w:noWrap/>
            <w:vAlign w:val="bottom"/>
            <w:hideMark/>
          </w:tcPr>
          <w:p w14:paraId="7A8A1D17"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169 (65.6-437), &lt;0.0001, 10.6</w:t>
            </w:r>
          </w:p>
        </w:tc>
      </w:tr>
      <w:tr w:rsidR="004B24BB" w:rsidRPr="00CF3785" w14:paraId="40E07A5E" w14:textId="77777777" w:rsidTr="00893323">
        <w:trPr>
          <w:trHeight w:val="320"/>
        </w:trPr>
        <w:tc>
          <w:tcPr>
            <w:tcW w:w="3232" w:type="dxa"/>
            <w:noWrap/>
            <w:vAlign w:val="bottom"/>
          </w:tcPr>
          <w:p w14:paraId="32238BA6" w14:textId="1065544C" w:rsidR="004B24BB" w:rsidRDefault="004B24BB" w:rsidP="00893323">
            <w:pPr>
              <w:rPr>
                <w:rFonts w:ascii="Calibri" w:hAnsi="Calibri" w:cs="Calibri"/>
                <w:color w:val="000000" w:themeColor="text1"/>
              </w:rPr>
            </w:pPr>
            <w:r w:rsidRPr="00CF3785">
              <w:rPr>
                <w:rFonts w:ascii="Calibri" w:hAnsi="Calibri" w:cs="Calibri"/>
                <w:color w:val="000000" w:themeColor="text1"/>
              </w:rPr>
              <w:t>Myelitis</w:t>
            </w:r>
          </w:p>
        </w:tc>
        <w:tc>
          <w:tcPr>
            <w:tcW w:w="1083" w:type="dxa"/>
            <w:noWrap/>
            <w:vAlign w:val="bottom"/>
          </w:tcPr>
          <w:p w14:paraId="18B126A4"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640</w:t>
            </w:r>
          </w:p>
        </w:tc>
        <w:tc>
          <w:tcPr>
            <w:tcW w:w="1260" w:type="dxa"/>
            <w:noWrap/>
            <w:vAlign w:val="bottom"/>
          </w:tcPr>
          <w:p w14:paraId="5F24120E"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182</w:t>
            </w:r>
          </w:p>
        </w:tc>
        <w:tc>
          <w:tcPr>
            <w:tcW w:w="917" w:type="dxa"/>
            <w:noWrap/>
            <w:vAlign w:val="bottom"/>
          </w:tcPr>
          <w:p w14:paraId="05D590EF"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616</w:t>
            </w:r>
          </w:p>
        </w:tc>
        <w:tc>
          <w:tcPr>
            <w:tcW w:w="3158" w:type="dxa"/>
            <w:noWrap/>
            <w:vAlign w:val="bottom"/>
          </w:tcPr>
          <w:p w14:paraId="6D25DF3D"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31.3 (22.2-44.2), &lt;0.0001, 19.7</w:t>
            </w:r>
          </w:p>
        </w:tc>
        <w:tc>
          <w:tcPr>
            <w:tcW w:w="3300" w:type="dxa"/>
            <w:noWrap/>
            <w:vAlign w:val="bottom"/>
          </w:tcPr>
          <w:p w14:paraId="60F20CC3"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33.2 (23.5-46.9) &lt;0.0001,19.9</w:t>
            </w:r>
          </w:p>
        </w:tc>
      </w:tr>
      <w:tr w:rsidR="004B24BB" w:rsidRPr="00CF3785" w14:paraId="67B20AEC" w14:textId="77777777" w:rsidTr="00893323">
        <w:trPr>
          <w:trHeight w:val="320"/>
        </w:trPr>
        <w:tc>
          <w:tcPr>
            <w:tcW w:w="3232" w:type="dxa"/>
            <w:noWrap/>
            <w:vAlign w:val="bottom"/>
            <w:hideMark/>
          </w:tcPr>
          <w:p w14:paraId="7EC346B4" w14:textId="5F2F7F49" w:rsidR="004B24BB" w:rsidRPr="00CF3785" w:rsidRDefault="004B24BB" w:rsidP="00893323">
            <w:pPr>
              <w:rPr>
                <w:rFonts w:ascii="Calibri" w:hAnsi="Calibri" w:cs="Calibri"/>
                <w:color w:val="000000" w:themeColor="text1"/>
              </w:rPr>
            </w:pPr>
            <w:r w:rsidRPr="00CF3785">
              <w:rPr>
                <w:rFonts w:ascii="Calibri" w:hAnsi="Calibri" w:cs="Calibri"/>
                <w:color w:val="000000" w:themeColor="text1"/>
              </w:rPr>
              <w:t xml:space="preserve">Myelitis </w:t>
            </w:r>
            <w:r w:rsidR="007023F7">
              <w:rPr>
                <w:rFonts w:ascii="Calibri" w:hAnsi="Calibri" w:cs="Calibri"/>
                <w:color w:val="000000" w:themeColor="text1"/>
              </w:rPr>
              <w:t>t</w:t>
            </w:r>
            <w:r w:rsidRPr="00CF3785">
              <w:rPr>
                <w:rFonts w:ascii="Calibri" w:hAnsi="Calibri" w:cs="Calibri"/>
                <w:color w:val="000000" w:themeColor="text1"/>
              </w:rPr>
              <w:t>ransverse</w:t>
            </w:r>
          </w:p>
        </w:tc>
        <w:tc>
          <w:tcPr>
            <w:tcW w:w="1083" w:type="dxa"/>
            <w:noWrap/>
            <w:vAlign w:val="bottom"/>
            <w:hideMark/>
          </w:tcPr>
          <w:p w14:paraId="247C7070"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713</w:t>
            </w:r>
          </w:p>
        </w:tc>
        <w:tc>
          <w:tcPr>
            <w:tcW w:w="1260" w:type="dxa"/>
            <w:noWrap/>
            <w:vAlign w:val="bottom"/>
            <w:hideMark/>
          </w:tcPr>
          <w:p w14:paraId="54F234B4"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305</w:t>
            </w:r>
          </w:p>
        </w:tc>
        <w:tc>
          <w:tcPr>
            <w:tcW w:w="917" w:type="dxa"/>
            <w:noWrap/>
            <w:vAlign w:val="bottom"/>
            <w:hideMark/>
          </w:tcPr>
          <w:p w14:paraId="6ADCCA2F"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712</w:t>
            </w:r>
          </w:p>
        </w:tc>
        <w:tc>
          <w:tcPr>
            <w:tcW w:w="3158" w:type="dxa"/>
            <w:noWrap/>
            <w:vAlign w:val="bottom"/>
            <w:hideMark/>
          </w:tcPr>
          <w:p w14:paraId="33456363"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20.8 (15.0-29.0), &lt;0.0001, 18.0</w:t>
            </w:r>
          </w:p>
        </w:tc>
        <w:tc>
          <w:tcPr>
            <w:tcW w:w="3300" w:type="dxa"/>
            <w:noWrap/>
            <w:vAlign w:val="bottom"/>
            <w:hideMark/>
          </w:tcPr>
          <w:p w14:paraId="08029F9D"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8.93 (6.49-12.3), &lt;0.0001, 13.5</w:t>
            </w:r>
          </w:p>
        </w:tc>
      </w:tr>
      <w:tr w:rsidR="004B24BB" w:rsidRPr="00CF3785" w14:paraId="04879F98" w14:textId="77777777" w:rsidTr="00893323">
        <w:trPr>
          <w:trHeight w:val="320"/>
        </w:trPr>
        <w:tc>
          <w:tcPr>
            <w:tcW w:w="3232" w:type="dxa"/>
            <w:noWrap/>
            <w:vAlign w:val="bottom"/>
            <w:hideMark/>
          </w:tcPr>
          <w:p w14:paraId="3459E51D" w14:textId="5AF8B259" w:rsidR="004B24BB" w:rsidRPr="00CF3785" w:rsidRDefault="004B24BB" w:rsidP="00893323">
            <w:pPr>
              <w:rPr>
                <w:rFonts w:ascii="Calibri" w:hAnsi="Calibri" w:cs="Calibri"/>
                <w:color w:val="000000" w:themeColor="text1"/>
              </w:rPr>
            </w:pPr>
            <w:r w:rsidRPr="00CF3785">
              <w:rPr>
                <w:rFonts w:ascii="Calibri" w:hAnsi="Calibri" w:cs="Calibri"/>
                <w:color w:val="000000" w:themeColor="text1"/>
              </w:rPr>
              <w:t xml:space="preserve">Noninfectious </w:t>
            </w:r>
            <w:r w:rsidR="007023F7">
              <w:rPr>
                <w:rFonts w:ascii="Calibri" w:hAnsi="Calibri" w:cs="Calibri"/>
                <w:color w:val="000000" w:themeColor="text1"/>
              </w:rPr>
              <w:t>m</w:t>
            </w:r>
            <w:r w:rsidRPr="00CF3785">
              <w:rPr>
                <w:rFonts w:ascii="Calibri" w:hAnsi="Calibri" w:cs="Calibri"/>
                <w:color w:val="000000" w:themeColor="text1"/>
              </w:rPr>
              <w:t>yelitis</w:t>
            </w:r>
          </w:p>
        </w:tc>
        <w:tc>
          <w:tcPr>
            <w:tcW w:w="1083" w:type="dxa"/>
            <w:noWrap/>
            <w:vAlign w:val="bottom"/>
            <w:hideMark/>
          </w:tcPr>
          <w:p w14:paraId="77B75A28"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7</w:t>
            </w:r>
          </w:p>
        </w:tc>
        <w:tc>
          <w:tcPr>
            <w:tcW w:w="1260" w:type="dxa"/>
            <w:noWrap/>
            <w:vAlign w:val="bottom"/>
            <w:hideMark/>
          </w:tcPr>
          <w:p w14:paraId="500A9B74"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0</w:t>
            </w:r>
          </w:p>
        </w:tc>
        <w:tc>
          <w:tcPr>
            <w:tcW w:w="917" w:type="dxa"/>
            <w:noWrap/>
            <w:vAlign w:val="bottom"/>
            <w:hideMark/>
          </w:tcPr>
          <w:p w14:paraId="41FA92C6"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4</w:t>
            </w:r>
          </w:p>
        </w:tc>
        <w:tc>
          <w:tcPr>
            <w:tcW w:w="3158" w:type="dxa"/>
            <w:noWrap/>
            <w:vAlign w:val="bottom"/>
            <w:hideMark/>
          </w:tcPr>
          <w:p w14:paraId="44DD8368"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132 (7.45-2360), =0.0009, 3.33</w:t>
            </w:r>
          </w:p>
        </w:tc>
        <w:tc>
          <w:tcPr>
            <w:tcW w:w="3300" w:type="dxa"/>
            <w:noWrap/>
            <w:vAlign w:val="bottom"/>
            <w:hideMark/>
          </w:tcPr>
          <w:p w14:paraId="0106FF95"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15.6 (4.40-55.3), &lt;0.0001, 4.26</w:t>
            </w:r>
          </w:p>
        </w:tc>
      </w:tr>
      <w:tr w:rsidR="004B24BB" w:rsidRPr="00CF3785" w14:paraId="09D83F40" w14:textId="77777777" w:rsidTr="00893323">
        <w:trPr>
          <w:trHeight w:val="320"/>
        </w:trPr>
        <w:tc>
          <w:tcPr>
            <w:tcW w:w="3232" w:type="dxa"/>
            <w:noWrap/>
            <w:vAlign w:val="bottom"/>
          </w:tcPr>
          <w:p w14:paraId="620240FE" w14:textId="11DEE138" w:rsidR="004B24BB" w:rsidRDefault="004B24BB" w:rsidP="00893323">
            <w:pPr>
              <w:rPr>
                <w:rFonts w:ascii="Calibri" w:hAnsi="Calibri" w:cs="Calibri"/>
                <w:color w:val="000000" w:themeColor="text1"/>
              </w:rPr>
            </w:pPr>
            <w:r w:rsidRPr="00CF3785">
              <w:rPr>
                <w:rFonts w:ascii="Calibri" w:hAnsi="Calibri" w:cs="Calibri"/>
                <w:color w:val="000000" w:themeColor="text1"/>
              </w:rPr>
              <w:t>Poliomyelitis</w:t>
            </w:r>
          </w:p>
        </w:tc>
        <w:tc>
          <w:tcPr>
            <w:tcW w:w="1083" w:type="dxa"/>
            <w:noWrap/>
            <w:vAlign w:val="bottom"/>
          </w:tcPr>
          <w:p w14:paraId="0B842D27"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11</w:t>
            </w:r>
          </w:p>
        </w:tc>
        <w:tc>
          <w:tcPr>
            <w:tcW w:w="1260" w:type="dxa"/>
            <w:noWrap/>
            <w:vAlign w:val="bottom"/>
          </w:tcPr>
          <w:p w14:paraId="68C4D701"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3</w:t>
            </w:r>
          </w:p>
        </w:tc>
        <w:tc>
          <w:tcPr>
            <w:tcW w:w="917" w:type="dxa"/>
            <w:noWrap/>
            <w:vAlign w:val="bottom"/>
          </w:tcPr>
          <w:p w14:paraId="62793726"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96</w:t>
            </w:r>
          </w:p>
        </w:tc>
        <w:tc>
          <w:tcPr>
            <w:tcW w:w="3158" w:type="dxa"/>
            <w:noWrap/>
            <w:vAlign w:val="bottom"/>
          </w:tcPr>
          <w:p w14:paraId="5F459B53"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32.7 (8.80-121), &lt;0.0001, 5.21</w:t>
            </w:r>
          </w:p>
        </w:tc>
        <w:tc>
          <w:tcPr>
            <w:tcW w:w="3300" w:type="dxa"/>
            <w:noWrap/>
            <w:vAlign w:val="bottom"/>
          </w:tcPr>
          <w:p w14:paraId="0C6495EC"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1.02 (0.511-2.04), =0.952, 0.0602</w:t>
            </w:r>
          </w:p>
        </w:tc>
      </w:tr>
      <w:tr w:rsidR="004B24BB" w:rsidRPr="00CF3785" w14:paraId="25D27E75" w14:textId="77777777" w:rsidTr="00893323">
        <w:trPr>
          <w:trHeight w:val="320"/>
        </w:trPr>
        <w:tc>
          <w:tcPr>
            <w:tcW w:w="3232" w:type="dxa"/>
            <w:noWrap/>
            <w:vAlign w:val="bottom"/>
          </w:tcPr>
          <w:p w14:paraId="47FF3CC9" w14:textId="37EAC445" w:rsidR="004B24BB" w:rsidRDefault="004B24BB" w:rsidP="00893323">
            <w:pPr>
              <w:rPr>
                <w:rFonts w:ascii="Calibri" w:hAnsi="Calibri" w:cs="Calibri"/>
                <w:color w:val="000000" w:themeColor="text1"/>
              </w:rPr>
            </w:pPr>
            <w:r w:rsidRPr="00CF3785">
              <w:rPr>
                <w:rFonts w:ascii="Calibri" w:hAnsi="Calibri" w:cs="Calibri"/>
                <w:color w:val="000000" w:themeColor="text1"/>
              </w:rPr>
              <w:t xml:space="preserve">Post Polio </w:t>
            </w:r>
            <w:r w:rsidR="007023F7">
              <w:rPr>
                <w:rFonts w:ascii="Calibri" w:hAnsi="Calibri" w:cs="Calibri"/>
                <w:color w:val="000000" w:themeColor="text1"/>
              </w:rPr>
              <w:t>s</w:t>
            </w:r>
            <w:r w:rsidRPr="00CF3785">
              <w:rPr>
                <w:rFonts w:ascii="Calibri" w:hAnsi="Calibri" w:cs="Calibri"/>
                <w:color w:val="000000" w:themeColor="text1"/>
              </w:rPr>
              <w:t>yndrome</w:t>
            </w:r>
          </w:p>
        </w:tc>
        <w:tc>
          <w:tcPr>
            <w:tcW w:w="1083" w:type="dxa"/>
            <w:noWrap/>
            <w:vAlign w:val="bottom"/>
          </w:tcPr>
          <w:p w14:paraId="25CBD040"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5</w:t>
            </w:r>
          </w:p>
        </w:tc>
        <w:tc>
          <w:tcPr>
            <w:tcW w:w="1260" w:type="dxa"/>
            <w:noWrap/>
            <w:vAlign w:val="bottom"/>
          </w:tcPr>
          <w:p w14:paraId="1700E9F0"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0</w:t>
            </w:r>
          </w:p>
        </w:tc>
        <w:tc>
          <w:tcPr>
            <w:tcW w:w="917" w:type="dxa"/>
            <w:noWrap/>
            <w:vAlign w:val="bottom"/>
          </w:tcPr>
          <w:p w14:paraId="191B68FE"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8</w:t>
            </w:r>
          </w:p>
        </w:tc>
        <w:tc>
          <w:tcPr>
            <w:tcW w:w="3158" w:type="dxa"/>
            <w:noWrap/>
            <w:vAlign w:val="bottom"/>
          </w:tcPr>
          <w:p w14:paraId="4B9792B8"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97.1 (5.29-1780), =0.0021, 3.08</w:t>
            </w:r>
          </w:p>
        </w:tc>
        <w:tc>
          <w:tcPr>
            <w:tcW w:w="3300" w:type="dxa"/>
            <w:noWrap/>
            <w:vAlign w:val="bottom"/>
          </w:tcPr>
          <w:p w14:paraId="10E46A66"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5.57 (1.75-17.7), =0.0036, 2.91</w:t>
            </w:r>
          </w:p>
        </w:tc>
      </w:tr>
      <w:tr w:rsidR="004B24BB" w:rsidRPr="00CF3785" w14:paraId="2A30E51B" w14:textId="77777777" w:rsidTr="00893323">
        <w:trPr>
          <w:trHeight w:val="320"/>
        </w:trPr>
        <w:tc>
          <w:tcPr>
            <w:tcW w:w="3232" w:type="dxa"/>
            <w:noWrap/>
            <w:vAlign w:val="bottom"/>
          </w:tcPr>
          <w:p w14:paraId="174A1936" w14:textId="23601926" w:rsidR="004B24BB" w:rsidRDefault="004B24BB" w:rsidP="00893323">
            <w:pPr>
              <w:rPr>
                <w:rFonts w:ascii="Calibri" w:hAnsi="Calibri" w:cs="Calibri"/>
                <w:color w:val="000000" w:themeColor="text1"/>
              </w:rPr>
            </w:pPr>
            <w:r w:rsidRPr="00CF3785">
              <w:rPr>
                <w:rFonts w:ascii="Calibri" w:hAnsi="Calibri" w:cs="Calibri"/>
                <w:color w:val="000000" w:themeColor="text1"/>
              </w:rPr>
              <w:t xml:space="preserve">Prion </w:t>
            </w:r>
            <w:r w:rsidR="007023F7">
              <w:rPr>
                <w:rFonts w:ascii="Calibri" w:hAnsi="Calibri" w:cs="Calibri"/>
                <w:color w:val="000000" w:themeColor="text1"/>
              </w:rPr>
              <w:t>d</w:t>
            </w:r>
            <w:r w:rsidRPr="00CF3785">
              <w:rPr>
                <w:rFonts w:ascii="Calibri" w:hAnsi="Calibri" w:cs="Calibri"/>
                <w:color w:val="000000" w:themeColor="text1"/>
              </w:rPr>
              <w:t xml:space="preserve">isease </w:t>
            </w:r>
          </w:p>
        </w:tc>
        <w:tc>
          <w:tcPr>
            <w:tcW w:w="1083" w:type="dxa"/>
            <w:noWrap/>
            <w:vAlign w:val="bottom"/>
          </w:tcPr>
          <w:p w14:paraId="10B5E3C5"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3</w:t>
            </w:r>
          </w:p>
        </w:tc>
        <w:tc>
          <w:tcPr>
            <w:tcW w:w="1260" w:type="dxa"/>
            <w:noWrap/>
            <w:vAlign w:val="bottom"/>
          </w:tcPr>
          <w:p w14:paraId="2CEFA40E"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0</w:t>
            </w:r>
          </w:p>
        </w:tc>
        <w:tc>
          <w:tcPr>
            <w:tcW w:w="917" w:type="dxa"/>
            <w:noWrap/>
            <w:vAlign w:val="bottom"/>
          </w:tcPr>
          <w:p w14:paraId="00757C5D"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0</w:t>
            </w:r>
          </w:p>
        </w:tc>
        <w:tc>
          <w:tcPr>
            <w:tcW w:w="3158" w:type="dxa"/>
            <w:noWrap/>
            <w:vAlign w:val="bottom"/>
          </w:tcPr>
          <w:p w14:paraId="3630B601"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61.8 (3.15-1220), =0.0066, 2.71</w:t>
            </w:r>
          </w:p>
        </w:tc>
        <w:tc>
          <w:tcPr>
            <w:tcW w:w="3300" w:type="dxa"/>
            <w:noWrap/>
            <w:vAlign w:val="bottom"/>
          </w:tcPr>
          <w:p w14:paraId="05C32361"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61.8 (3.15-1220), =0.0066, 2.71</w:t>
            </w:r>
          </w:p>
        </w:tc>
      </w:tr>
      <w:tr w:rsidR="004B24BB" w:rsidRPr="00CF3785" w14:paraId="2729E8D9" w14:textId="77777777" w:rsidTr="00893323">
        <w:trPr>
          <w:trHeight w:val="320"/>
        </w:trPr>
        <w:tc>
          <w:tcPr>
            <w:tcW w:w="3232" w:type="dxa"/>
            <w:noWrap/>
            <w:vAlign w:val="bottom"/>
          </w:tcPr>
          <w:p w14:paraId="30D1FE5F" w14:textId="24A5BFBE" w:rsidR="004B24BB" w:rsidRDefault="004B24BB" w:rsidP="00893323">
            <w:pPr>
              <w:rPr>
                <w:rFonts w:ascii="Calibri" w:hAnsi="Calibri" w:cs="Calibri"/>
                <w:color w:val="000000" w:themeColor="text1"/>
              </w:rPr>
            </w:pPr>
            <w:r w:rsidRPr="00CF3785">
              <w:rPr>
                <w:rFonts w:ascii="Calibri" w:hAnsi="Calibri" w:cs="Calibri"/>
                <w:color w:val="000000" w:themeColor="text1"/>
              </w:rPr>
              <w:t xml:space="preserve">Vaccine </w:t>
            </w:r>
            <w:r w:rsidR="007023F7">
              <w:rPr>
                <w:rFonts w:ascii="Calibri" w:hAnsi="Calibri" w:cs="Calibri"/>
                <w:color w:val="000000" w:themeColor="text1"/>
              </w:rPr>
              <w:t>a</w:t>
            </w:r>
            <w:r w:rsidRPr="00CF3785">
              <w:rPr>
                <w:rFonts w:ascii="Calibri" w:hAnsi="Calibri" w:cs="Calibri"/>
                <w:color w:val="000000" w:themeColor="text1"/>
              </w:rPr>
              <w:t xml:space="preserve">ssociated </w:t>
            </w:r>
            <w:r w:rsidR="007023F7">
              <w:rPr>
                <w:rFonts w:ascii="Calibri" w:hAnsi="Calibri" w:cs="Calibri"/>
                <w:color w:val="000000" w:themeColor="text1"/>
              </w:rPr>
              <w:t>p</w:t>
            </w:r>
            <w:r w:rsidRPr="00CF3785">
              <w:rPr>
                <w:rFonts w:ascii="Calibri" w:hAnsi="Calibri" w:cs="Calibri"/>
                <w:color w:val="000000" w:themeColor="text1"/>
              </w:rPr>
              <w:t xml:space="preserve">aralytic </w:t>
            </w:r>
            <w:r w:rsidR="007023F7">
              <w:rPr>
                <w:rFonts w:ascii="Calibri" w:hAnsi="Calibri" w:cs="Calibri"/>
                <w:color w:val="000000" w:themeColor="text1"/>
              </w:rPr>
              <w:t>p</w:t>
            </w:r>
            <w:r w:rsidRPr="00CF3785">
              <w:rPr>
                <w:rFonts w:ascii="Calibri" w:hAnsi="Calibri" w:cs="Calibri"/>
                <w:color w:val="000000" w:themeColor="text1"/>
              </w:rPr>
              <w:t>oliomyelitis</w:t>
            </w:r>
          </w:p>
        </w:tc>
        <w:tc>
          <w:tcPr>
            <w:tcW w:w="1083" w:type="dxa"/>
            <w:noWrap/>
            <w:vAlign w:val="bottom"/>
          </w:tcPr>
          <w:p w14:paraId="031859E2"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2</w:t>
            </w:r>
          </w:p>
        </w:tc>
        <w:tc>
          <w:tcPr>
            <w:tcW w:w="1260" w:type="dxa"/>
            <w:noWrap/>
            <w:vAlign w:val="bottom"/>
          </w:tcPr>
          <w:p w14:paraId="583CDEA2"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0</w:t>
            </w:r>
          </w:p>
        </w:tc>
        <w:tc>
          <w:tcPr>
            <w:tcW w:w="917" w:type="dxa"/>
            <w:noWrap/>
            <w:vAlign w:val="bottom"/>
          </w:tcPr>
          <w:p w14:paraId="3235DB26"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7</w:t>
            </w:r>
          </w:p>
        </w:tc>
        <w:tc>
          <w:tcPr>
            <w:tcW w:w="3158" w:type="dxa"/>
            <w:noWrap/>
            <w:vAlign w:val="bottom"/>
          </w:tcPr>
          <w:p w14:paraId="572519AB"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44.2 (2.09-934), =0.0150, 2.43</w:t>
            </w:r>
          </w:p>
        </w:tc>
        <w:tc>
          <w:tcPr>
            <w:tcW w:w="3300" w:type="dxa"/>
            <w:noWrap/>
            <w:vAlign w:val="bottom"/>
          </w:tcPr>
          <w:p w14:paraId="45569F4B"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2.55 (0.514-12.6), =0.2521, 1.15</w:t>
            </w:r>
          </w:p>
        </w:tc>
      </w:tr>
      <w:tr w:rsidR="004B24BB" w:rsidRPr="00CF3785" w14:paraId="52083D44" w14:textId="77777777" w:rsidTr="00893323">
        <w:trPr>
          <w:trHeight w:val="320"/>
        </w:trPr>
        <w:tc>
          <w:tcPr>
            <w:tcW w:w="3232" w:type="dxa"/>
            <w:noWrap/>
            <w:vAlign w:val="bottom"/>
            <w:hideMark/>
          </w:tcPr>
          <w:p w14:paraId="0DD69631" w14:textId="41CA059F" w:rsidR="004B24BB" w:rsidRPr="00CF3785" w:rsidRDefault="004B24BB" w:rsidP="00893323">
            <w:pPr>
              <w:rPr>
                <w:rFonts w:ascii="Calibri" w:hAnsi="Calibri" w:cs="Calibri"/>
                <w:color w:val="000000" w:themeColor="text1"/>
              </w:rPr>
            </w:pPr>
            <w:r w:rsidRPr="00CF3785">
              <w:rPr>
                <w:rFonts w:ascii="Calibri" w:hAnsi="Calibri" w:cs="Calibri"/>
                <w:color w:val="000000" w:themeColor="text1"/>
              </w:rPr>
              <w:t xml:space="preserve">Viral </w:t>
            </w:r>
            <w:r w:rsidR="007023F7">
              <w:rPr>
                <w:rFonts w:ascii="Calibri" w:hAnsi="Calibri" w:cs="Calibri"/>
                <w:color w:val="000000" w:themeColor="text1"/>
              </w:rPr>
              <w:t>m</w:t>
            </w:r>
            <w:r w:rsidRPr="00CF3785">
              <w:rPr>
                <w:rFonts w:ascii="Calibri" w:hAnsi="Calibri" w:cs="Calibri"/>
                <w:color w:val="000000" w:themeColor="text1"/>
              </w:rPr>
              <w:t>yelitis</w:t>
            </w:r>
          </w:p>
        </w:tc>
        <w:tc>
          <w:tcPr>
            <w:tcW w:w="1083" w:type="dxa"/>
            <w:noWrap/>
            <w:vAlign w:val="bottom"/>
            <w:hideMark/>
          </w:tcPr>
          <w:p w14:paraId="7C4C829B"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6</w:t>
            </w:r>
          </w:p>
        </w:tc>
        <w:tc>
          <w:tcPr>
            <w:tcW w:w="1260" w:type="dxa"/>
            <w:noWrap/>
            <w:vAlign w:val="bottom"/>
            <w:hideMark/>
          </w:tcPr>
          <w:p w14:paraId="1E3B65FA"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0</w:t>
            </w:r>
          </w:p>
        </w:tc>
        <w:tc>
          <w:tcPr>
            <w:tcW w:w="917" w:type="dxa"/>
            <w:noWrap/>
            <w:vAlign w:val="bottom"/>
            <w:hideMark/>
          </w:tcPr>
          <w:p w14:paraId="67C3F06C" w14:textId="77777777" w:rsidR="004B24BB" w:rsidRPr="00CF3785" w:rsidRDefault="004B24BB" w:rsidP="00893323">
            <w:pPr>
              <w:jc w:val="right"/>
              <w:rPr>
                <w:rFonts w:ascii="Calibri" w:hAnsi="Calibri" w:cs="Calibri"/>
                <w:color w:val="000000" w:themeColor="text1"/>
              </w:rPr>
            </w:pPr>
            <w:r w:rsidRPr="00CF3785">
              <w:rPr>
                <w:rFonts w:ascii="Calibri" w:hAnsi="Calibri" w:cs="Calibri"/>
                <w:color w:val="000000" w:themeColor="text1"/>
              </w:rPr>
              <w:t>4</w:t>
            </w:r>
          </w:p>
        </w:tc>
        <w:tc>
          <w:tcPr>
            <w:tcW w:w="3158" w:type="dxa"/>
            <w:noWrap/>
            <w:vAlign w:val="bottom"/>
            <w:hideMark/>
          </w:tcPr>
          <w:p w14:paraId="62EB5FCF" w14:textId="77777777"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115 (6.37-2070), =0.0013, 3.22</w:t>
            </w:r>
          </w:p>
        </w:tc>
        <w:tc>
          <w:tcPr>
            <w:tcW w:w="3300" w:type="dxa"/>
            <w:noWrap/>
            <w:vAlign w:val="bottom"/>
            <w:hideMark/>
          </w:tcPr>
          <w:p w14:paraId="7AC77CB6" w14:textId="71DB3614" w:rsidR="004B24BB" w:rsidRPr="00CF3785" w:rsidRDefault="004B24BB" w:rsidP="00893323">
            <w:pPr>
              <w:jc w:val="center"/>
              <w:rPr>
                <w:rFonts w:ascii="Calibri" w:hAnsi="Calibri" w:cs="Calibri"/>
                <w:color w:val="000000" w:themeColor="text1"/>
              </w:rPr>
            </w:pPr>
            <w:r w:rsidRPr="00CF3785">
              <w:rPr>
                <w:rFonts w:ascii="Calibri" w:hAnsi="Calibri" w:cs="Calibri"/>
                <w:color w:val="000000" w:themeColor="text1"/>
              </w:rPr>
              <w:t>13.4 (3.64-49.1), =0.0001, 3.91</w:t>
            </w:r>
          </w:p>
        </w:tc>
      </w:tr>
    </w:tbl>
    <w:p w14:paraId="6953B16D" w14:textId="77777777" w:rsidR="004616B4" w:rsidRPr="00CF3785" w:rsidRDefault="004616B4" w:rsidP="00045BC5">
      <w:pPr>
        <w:rPr>
          <w:color w:val="000000" w:themeColor="text1"/>
        </w:rPr>
      </w:pPr>
    </w:p>
    <w:p w14:paraId="1595EA65" w14:textId="77777777" w:rsidR="004616B4" w:rsidRPr="00CF3785" w:rsidRDefault="004616B4" w:rsidP="00045BC5">
      <w:pPr>
        <w:rPr>
          <w:color w:val="000000" w:themeColor="text1"/>
        </w:rPr>
      </w:pPr>
    </w:p>
    <w:sectPr w:rsidR="004616B4" w:rsidRPr="00CF3785" w:rsidSect="0033737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DBF39" w14:textId="77777777" w:rsidR="00320030" w:rsidRDefault="00320030" w:rsidP="003C6F6E">
      <w:r>
        <w:separator/>
      </w:r>
    </w:p>
  </w:endnote>
  <w:endnote w:type="continuationSeparator" w:id="0">
    <w:p w14:paraId="0F0A8CDC" w14:textId="77777777" w:rsidR="00320030" w:rsidRDefault="00320030" w:rsidP="003C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ar(--docx-majorBidi-font)">
    <w:altName w:val="Cambria"/>
    <w:panose1 w:val="020B06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881134"/>
      <w:docPartObj>
        <w:docPartGallery w:val="Page Numbers (Bottom of Page)"/>
        <w:docPartUnique/>
      </w:docPartObj>
    </w:sdtPr>
    <w:sdtEndPr>
      <w:rPr>
        <w:noProof/>
      </w:rPr>
    </w:sdtEndPr>
    <w:sdtContent>
      <w:p w14:paraId="4F4626E3" w14:textId="227FF90C" w:rsidR="009249E1" w:rsidRDefault="009249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7AC4C4" w14:textId="77777777" w:rsidR="009249E1" w:rsidRDefault="00924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8ADE8" w14:textId="77777777" w:rsidR="00320030" w:rsidRDefault="00320030" w:rsidP="003C6F6E">
      <w:r>
        <w:separator/>
      </w:r>
    </w:p>
  </w:footnote>
  <w:footnote w:type="continuationSeparator" w:id="0">
    <w:p w14:paraId="0888E39D" w14:textId="77777777" w:rsidR="00320030" w:rsidRDefault="00320030" w:rsidP="003C6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626"/>
    <w:multiLevelType w:val="hybridMultilevel"/>
    <w:tmpl w:val="B39E27B4"/>
    <w:lvl w:ilvl="0" w:tplc="146CCD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A4086"/>
    <w:multiLevelType w:val="multilevel"/>
    <w:tmpl w:val="0764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87AE2"/>
    <w:multiLevelType w:val="hybridMultilevel"/>
    <w:tmpl w:val="118EE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4C21"/>
    <w:multiLevelType w:val="hybridMultilevel"/>
    <w:tmpl w:val="351CF89A"/>
    <w:lvl w:ilvl="0" w:tplc="146CCD4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F17BE"/>
    <w:multiLevelType w:val="hybridMultilevel"/>
    <w:tmpl w:val="B0507216"/>
    <w:lvl w:ilvl="0" w:tplc="3D400C0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16141"/>
    <w:multiLevelType w:val="multilevel"/>
    <w:tmpl w:val="AFF6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B1479"/>
    <w:multiLevelType w:val="multilevel"/>
    <w:tmpl w:val="13ECBE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0C53542"/>
    <w:multiLevelType w:val="hybridMultilevel"/>
    <w:tmpl w:val="E0D275F4"/>
    <w:lvl w:ilvl="0" w:tplc="146CCD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2722A"/>
    <w:multiLevelType w:val="hybridMultilevel"/>
    <w:tmpl w:val="CFA8FDF6"/>
    <w:lvl w:ilvl="0" w:tplc="97D07DA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A42830"/>
    <w:multiLevelType w:val="hybridMultilevel"/>
    <w:tmpl w:val="CD908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E5891"/>
    <w:multiLevelType w:val="multilevel"/>
    <w:tmpl w:val="FB7E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221FD2"/>
    <w:multiLevelType w:val="hybridMultilevel"/>
    <w:tmpl w:val="35184C00"/>
    <w:lvl w:ilvl="0" w:tplc="FF3C3738">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BD38AF"/>
    <w:multiLevelType w:val="hybridMultilevel"/>
    <w:tmpl w:val="86143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20309"/>
    <w:multiLevelType w:val="hybridMultilevel"/>
    <w:tmpl w:val="23886748"/>
    <w:lvl w:ilvl="0" w:tplc="0409000F">
      <w:start w:val="1"/>
      <w:numFmt w:val="decimal"/>
      <w:lvlText w:val="%1."/>
      <w:lvlJc w:val="left"/>
      <w:pPr>
        <w:ind w:left="720" w:hanging="360"/>
      </w:pPr>
      <w:rPr>
        <w:rFonts w:eastAsia="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26F13"/>
    <w:multiLevelType w:val="hybridMultilevel"/>
    <w:tmpl w:val="E25A3C58"/>
    <w:lvl w:ilvl="0" w:tplc="7690E11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74679"/>
    <w:multiLevelType w:val="hybridMultilevel"/>
    <w:tmpl w:val="80C0DB62"/>
    <w:lvl w:ilvl="0" w:tplc="A678F0FC">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82B15"/>
    <w:multiLevelType w:val="hybridMultilevel"/>
    <w:tmpl w:val="DB8AB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9636B"/>
    <w:multiLevelType w:val="hybridMultilevel"/>
    <w:tmpl w:val="B75CC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36B0E"/>
    <w:multiLevelType w:val="hybridMultilevel"/>
    <w:tmpl w:val="118EEA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B54732"/>
    <w:multiLevelType w:val="hybridMultilevel"/>
    <w:tmpl w:val="0052A14A"/>
    <w:lvl w:ilvl="0" w:tplc="146CCD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F4316D"/>
    <w:multiLevelType w:val="multilevel"/>
    <w:tmpl w:val="B31CBDF2"/>
    <w:lvl w:ilvl="0">
      <w:start w:val="4"/>
      <w:numFmt w:val="decimal"/>
      <w:lvlText w:val="%1"/>
      <w:lvlJc w:val="left"/>
      <w:pPr>
        <w:ind w:left="420" w:hanging="420"/>
      </w:pPr>
      <w:rPr>
        <w:rFonts w:hint="default"/>
        <w:color w:val="000000"/>
      </w:rPr>
    </w:lvl>
    <w:lvl w:ilvl="1">
      <w:start w:val="38"/>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B122BD3"/>
    <w:multiLevelType w:val="hybridMultilevel"/>
    <w:tmpl w:val="118EEA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231E0C"/>
    <w:multiLevelType w:val="hybridMultilevel"/>
    <w:tmpl w:val="118EEA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1305128">
    <w:abstractNumId w:val="9"/>
  </w:num>
  <w:num w:numId="2" w16cid:durableId="660348550">
    <w:abstractNumId w:val="12"/>
  </w:num>
  <w:num w:numId="3" w16cid:durableId="762456153">
    <w:abstractNumId w:val="2"/>
  </w:num>
  <w:num w:numId="4" w16cid:durableId="725449624">
    <w:abstractNumId w:val="11"/>
  </w:num>
  <w:num w:numId="5" w16cid:durableId="1862089035">
    <w:abstractNumId w:val="21"/>
  </w:num>
  <w:num w:numId="6" w16cid:durableId="1215045626">
    <w:abstractNumId w:val="18"/>
  </w:num>
  <w:num w:numId="7" w16cid:durableId="1585214162">
    <w:abstractNumId w:val="22"/>
  </w:num>
  <w:num w:numId="8" w16cid:durableId="1146972177">
    <w:abstractNumId w:val="3"/>
  </w:num>
  <w:num w:numId="9" w16cid:durableId="1221017453">
    <w:abstractNumId w:val="0"/>
  </w:num>
  <w:num w:numId="10" w16cid:durableId="131101784">
    <w:abstractNumId w:val="7"/>
  </w:num>
  <w:num w:numId="11" w16cid:durableId="2017883163">
    <w:abstractNumId w:val="19"/>
  </w:num>
  <w:num w:numId="12" w16cid:durableId="1395158143">
    <w:abstractNumId w:val="13"/>
  </w:num>
  <w:num w:numId="13" w16cid:durableId="1905792459">
    <w:abstractNumId w:val="10"/>
  </w:num>
  <w:num w:numId="14" w16cid:durableId="176045327">
    <w:abstractNumId w:val="6"/>
  </w:num>
  <w:num w:numId="15" w16cid:durableId="1856185626">
    <w:abstractNumId w:val="1"/>
  </w:num>
  <w:num w:numId="16" w16cid:durableId="1145511692">
    <w:abstractNumId w:val="5"/>
  </w:num>
  <w:num w:numId="17" w16cid:durableId="772938203">
    <w:abstractNumId w:val="4"/>
  </w:num>
  <w:num w:numId="18" w16cid:durableId="2025738357">
    <w:abstractNumId w:val="8"/>
  </w:num>
  <w:num w:numId="19" w16cid:durableId="1312098317">
    <w:abstractNumId w:val="20"/>
  </w:num>
  <w:num w:numId="20" w16cid:durableId="195968602">
    <w:abstractNumId w:val="15"/>
  </w:num>
  <w:num w:numId="21" w16cid:durableId="1435246778">
    <w:abstractNumId w:val="14"/>
  </w:num>
  <w:num w:numId="22" w16cid:durableId="1093746901">
    <w:abstractNumId w:val="16"/>
  </w:num>
  <w:num w:numId="23" w16cid:durableId="15448301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4A"/>
    <w:rsid w:val="000056AE"/>
    <w:rsid w:val="00012262"/>
    <w:rsid w:val="000135D7"/>
    <w:rsid w:val="00015661"/>
    <w:rsid w:val="00032106"/>
    <w:rsid w:val="00037E15"/>
    <w:rsid w:val="00041D05"/>
    <w:rsid w:val="0004395C"/>
    <w:rsid w:val="00045476"/>
    <w:rsid w:val="00045BC5"/>
    <w:rsid w:val="000531B1"/>
    <w:rsid w:val="00053411"/>
    <w:rsid w:val="00053CC4"/>
    <w:rsid w:val="00054356"/>
    <w:rsid w:val="00055FFC"/>
    <w:rsid w:val="00056F06"/>
    <w:rsid w:val="000577A9"/>
    <w:rsid w:val="000601F5"/>
    <w:rsid w:val="0006340D"/>
    <w:rsid w:val="00067C47"/>
    <w:rsid w:val="000704FD"/>
    <w:rsid w:val="00070C5A"/>
    <w:rsid w:val="00071E2F"/>
    <w:rsid w:val="000745D0"/>
    <w:rsid w:val="000747F3"/>
    <w:rsid w:val="000833D9"/>
    <w:rsid w:val="00085140"/>
    <w:rsid w:val="00091300"/>
    <w:rsid w:val="0009181D"/>
    <w:rsid w:val="00092E2E"/>
    <w:rsid w:val="00093BED"/>
    <w:rsid w:val="00096071"/>
    <w:rsid w:val="00097479"/>
    <w:rsid w:val="00097BCE"/>
    <w:rsid w:val="000A0737"/>
    <w:rsid w:val="000A68A0"/>
    <w:rsid w:val="000B0548"/>
    <w:rsid w:val="000B151D"/>
    <w:rsid w:val="000C0797"/>
    <w:rsid w:val="000C6F20"/>
    <w:rsid w:val="000D1299"/>
    <w:rsid w:val="000D2049"/>
    <w:rsid w:val="000D22F9"/>
    <w:rsid w:val="000D403C"/>
    <w:rsid w:val="000D6998"/>
    <w:rsid w:val="000E0F64"/>
    <w:rsid w:val="000F33F0"/>
    <w:rsid w:val="000F5129"/>
    <w:rsid w:val="000F6D06"/>
    <w:rsid w:val="001019ED"/>
    <w:rsid w:val="00103C25"/>
    <w:rsid w:val="00104F28"/>
    <w:rsid w:val="00105276"/>
    <w:rsid w:val="00106306"/>
    <w:rsid w:val="00106EDA"/>
    <w:rsid w:val="00112666"/>
    <w:rsid w:val="001178CD"/>
    <w:rsid w:val="001274B9"/>
    <w:rsid w:val="001336AF"/>
    <w:rsid w:val="00134D47"/>
    <w:rsid w:val="0013531C"/>
    <w:rsid w:val="00136491"/>
    <w:rsid w:val="00147A7B"/>
    <w:rsid w:val="00156E6F"/>
    <w:rsid w:val="0015731C"/>
    <w:rsid w:val="00161253"/>
    <w:rsid w:val="00161BD5"/>
    <w:rsid w:val="00170CE0"/>
    <w:rsid w:val="00173E3C"/>
    <w:rsid w:val="00176244"/>
    <w:rsid w:val="00177617"/>
    <w:rsid w:val="00180672"/>
    <w:rsid w:val="00181729"/>
    <w:rsid w:val="00186038"/>
    <w:rsid w:val="0018786F"/>
    <w:rsid w:val="0019218A"/>
    <w:rsid w:val="001A1905"/>
    <w:rsid w:val="001A2A26"/>
    <w:rsid w:val="001A3690"/>
    <w:rsid w:val="001A525C"/>
    <w:rsid w:val="001B245A"/>
    <w:rsid w:val="001B648C"/>
    <w:rsid w:val="001C28A0"/>
    <w:rsid w:val="001C2C58"/>
    <w:rsid w:val="001C7D1F"/>
    <w:rsid w:val="001D0EA5"/>
    <w:rsid w:val="001D1B41"/>
    <w:rsid w:val="001E01DF"/>
    <w:rsid w:val="001E2029"/>
    <w:rsid w:val="001E77C7"/>
    <w:rsid w:val="001F063D"/>
    <w:rsid w:val="001F3F42"/>
    <w:rsid w:val="001F3F7C"/>
    <w:rsid w:val="001F6721"/>
    <w:rsid w:val="002001FA"/>
    <w:rsid w:val="00200316"/>
    <w:rsid w:val="00206483"/>
    <w:rsid w:val="00206B8E"/>
    <w:rsid w:val="0020795E"/>
    <w:rsid w:val="00207AD9"/>
    <w:rsid w:val="00207E27"/>
    <w:rsid w:val="00213E9B"/>
    <w:rsid w:val="00214F21"/>
    <w:rsid w:val="00215216"/>
    <w:rsid w:val="00215D0C"/>
    <w:rsid w:val="002235B6"/>
    <w:rsid w:val="00223CE4"/>
    <w:rsid w:val="002243DB"/>
    <w:rsid w:val="0022501D"/>
    <w:rsid w:val="002252C1"/>
    <w:rsid w:val="0023000E"/>
    <w:rsid w:val="00231176"/>
    <w:rsid w:val="002338D9"/>
    <w:rsid w:val="002435B4"/>
    <w:rsid w:val="0025431B"/>
    <w:rsid w:val="002546DB"/>
    <w:rsid w:val="00254ABC"/>
    <w:rsid w:val="0026743B"/>
    <w:rsid w:val="002707DC"/>
    <w:rsid w:val="0027154E"/>
    <w:rsid w:val="00283217"/>
    <w:rsid w:val="00284A35"/>
    <w:rsid w:val="00290389"/>
    <w:rsid w:val="002909D0"/>
    <w:rsid w:val="002920A5"/>
    <w:rsid w:val="00292C5C"/>
    <w:rsid w:val="00294EF2"/>
    <w:rsid w:val="002A2FCA"/>
    <w:rsid w:val="002A4B82"/>
    <w:rsid w:val="002A4E2B"/>
    <w:rsid w:val="002A531B"/>
    <w:rsid w:val="002A5D01"/>
    <w:rsid w:val="002A7008"/>
    <w:rsid w:val="002B3460"/>
    <w:rsid w:val="002B6827"/>
    <w:rsid w:val="002C4D64"/>
    <w:rsid w:val="002C5037"/>
    <w:rsid w:val="002C5DF6"/>
    <w:rsid w:val="002C7E24"/>
    <w:rsid w:val="002D00E3"/>
    <w:rsid w:val="002D0A09"/>
    <w:rsid w:val="002E3FC4"/>
    <w:rsid w:val="002F1F40"/>
    <w:rsid w:val="002F33D5"/>
    <w:rsid w:val="002F4B48"/>
    <w:rsid w:val="002F6A9E"/>
    <w:rsid w:val="00301818"/>
    <w:rsid w:val="00302E26"/>
    <w:rsid w:val="003035E5"/>
    <w:rsid w:val="00315543"/>
    <w:rsid w:val="00320030"/>
    <w:rsid w:val="003213B9"/>
    <w:rsid w:val="003232AD"/>
    <w:rsid w:val="0032356F"/>
    <w:rsid w:val="00323CE4"/>
    <w:rsid w:val="00323F46"/>
    <w:rsid w:val="00325DC3"/>
    <w:rsid w:val="00327DB8"/>
    <w:rsid w:val="003338D2"/>
    <w:rsid w:val="0033400A"/>
    <w:rsid w:val="00335EDE"/>
    <w:rsid w:val="00337378"/>
    <w:rsid w:val="00337DEA"/>
    <w:rsid w:val="00341C50"/>
    <w:rsid w:val="003428DF"/>
    <w:rsid w:val="00343A83"/>
    <w:rsid w:val="003464D9"/>
    <w:rsid w:val="00347EE1"/>
    <w:rsid w:val="003531CD"/>
    <w:rsid w:val="00356126"/>
    <w:rsid w:val="00360384"/>
    <w:rsid w:val="003607A5"/>
    <w:rsid w:val="00380AA8"/>
    <w:rsid w:val="00384074"/>
    <w:rsid w:val="00387BB8"/>
    <w:rsid w:val="00392289"/>
    <w:rsid w:val="00395CEE"/>
    <w:rsid w:val="00397EDD"/>
    <w:rsid w:val="003A0B8D"/>
    <w:rsid w:val="003A0DDE"/>
    <w:rsid w:val="003A2F7C"/>
    <w:rsid w:val="003B2A0D"/>
    <w:rsid w:val="003B43D8"/>
    <w:rsid w:val="003B5865"/>
    <w:rsid w:val="003B7456"/>
    <w:rsid w:val="003C68A6"/>
    <w:rsid w:val="003C6F6E"/>
    <w:rsid w:val="003D268A"/>
    <w:rsid w:val="003D2898"/>
    <w:rsid w:val="003D5051"/>
    <w:rsid w:val="003E2C14"/>
    <w:rsid w:val="003E35ED"/>
    <w:rsid w:val="003E3809"/>
    <w:rsid w:val="003E6F80"/>
    <w:rsid w:val="003E7694"/>
    <w:rsid w:val="003E7C1E"/>
    <w:rsid w:val="003F1903"/>
    <w:rsid w:val="0040302B"/>
    <w:rsid w:val="0040710C"/>
    <w:rsid w:val="00420071"/>
    <w:rsid w:val="004226C0"/>
    <w:rsid w:val="00425A13"/>
    <w:rsid w:val="00425EA3"/>
    <w:rsid w:val="00433B0A"/>
    <w:rsid w:val="00434DF5"/>
    <w:rsid w:val="00450167"/>
    <w:rsid w:val="004554E7"/>
    <w:rsid w:val="00457D91"/>
    <w:rsid w:val="00457DA2"/>
    <w:rsid w:val="004616B4"/>
    <w:rsid w:val="004623AE"/>
    <w:rsid w:val="004634D1"/>
    <w:rsid w:val="004650E4"/>
    <w:rsid w:val="004664B2"/>
    <w:rsid w:val="00471F19"/>
    <w:rsid w:val="004724F4"/>
    <w:rsid w:val="004725B5"/>
    <w:rsid w:val="00482306"/>
    <w:rsid w:val="0048377D"/>
    <w:rsid w:val="00484B6B"/>
    <w:rsid w:val="0048644A"/>
    <w:rsid w:val="00494DAD"/>
    <w:rsid w:val="004A1FFA"/>
    <w:rsid w:val="004A4471"/>
    <w:rsid w:val="004A5123"/>
    <w:rsid w:val="004B24BB"/>
    <w:rsid w:val="004B359A"/>
    <w:rsid w:val="004B5F64"/>
    <w:rsid w:val="004B7648"/>
    <w:rsid w:val="004C5EBB"/>
    <w:rsid w:val="004D1C7A"/>
    <w:rsid w:val="004D62D6"/>
    <w:rsid w:val="004D64AD"/>
    <w:rsid w:val="004E5C59"/>
    <w:rsid w:val="004E5DF8"/>
    <w:rsid w:val="004E7C4A"/>
    <w:rsid w:val="004F147D"/>
    <w:rsid w:val="004F451F"/>
    <w:rsid w:val="004F4ED4"/>
    <w:rsid w:val="004F6613"/>
    <w:rsid w:val="004F7C14"/>
    <w:rsid w:val="005108E4"/>
    <w:rsid w:val="00511775"/>
    <w:rsid w:val="00511A6D"/>
    <w:rsid w:val="00511EDB"/>
    <w:rsid w:val="00515802"/>
    <w:rsid w:val="00523C17"/>
    <w:rsid w:val="00524B14"/>
    <w:rsid w:val="005307E0"/>
    <w:rsid w:val="00530B2C"/>
    <w:rsid w:val="005338B4"/>
    <w:rsid w:val="00536284"/>
    <w:rsid w:val="00537B18"/>
    <w:rsid w:val="0054066B"/>
    <w:rsid w:val="00547626"/>
    <w:rsid w:val="00551622"/>
    <w:rsid w:val="00551CEA"/>
    <w:rsid w:val="00553106"/>
    <w:rsid w:val="00555F14"/>
    <w:rsid w:val="00561243"/>
    <w:rsid w:val="00561528"/>
    <w:rsid w:val="00561A8F"/>
    <w:rsid w:val="005624B5"/>
    <w:rsid w:val="005627BD"/>
    <w:rsid w:val="00564AD5"/>
    <w:rsid w:val="0056591D"/>
    <w:rsid w:val="00575258"/>
    <w:rsid w:val="00575D7D"/>
    <w:rsid w:val="005801BD"/>
    <w:rsid w:val="005831EC"/>
    <w:rsid w:val="00587719"/>
    <w:rsid w:val="00593489"/>
    <w:rsid w:val="005A19A9"/>
    <w:rsid w:val="005B3DA3"/>
    <w:rsid w:val="005B6A6F"/>
    <w:rsid w:val="005B7DA5"/>
    <w:rsid w:val="005C29EF"/>
    <w:rsid w:val="005C68B3"/>
    <w:rsid w:val="005C6DF7"/>
    <w:rsid w:val="005D0ECC"/>
    <w:rsid w:val="005D53ED"/>
    <w:rsid w:val="005D6370"/>
    <w:rsid w:val="005E3061"/>
    <w:rsid w:val="005E59B4"/>
    <w:rsid w:val="005E6494"/>
    <w:rsid w:val="005E6889"/>
    <w:rsid w:val="005E7255"/>
    <w:rsid w:val="005F49CE"/>
    <w:rsid w:val="005F6893"/>
    <w:rsid w:val="00602028"/>
    <w:rsid w:val="00602E8B"/>
    <w:rsid w:val="00602F41"/>
    <w:rsid w:val="006054DF"/>
    <w:rsid w:val="00605F13"/>
    <w:rsid w:val="0060611A"/>
    <w:rsid w:val="006105F9"/>
    <w:rsid w:val="0061130D"/>
    <w:rsid w:val="006115A7"/>
    <w:rsid w:val="00615745"/>
    <w:rsid w:val="00616E24"/>
    <w:rsid w:val="00616F09"/>
    <w:rsid w:val="00621D59"/>
    <w:rsid w:val="0062489B"/>
    <w:rsid w:val="006270CB"/>
    <w:rsid w:val="006276E5"/>
    <w:rsid w:val="006409C1"/>
    <w:rsid w:val="00642D32"/>
    <w:rsid w:val="00643427"/>
    <w:rsid w:val="006438E8"/>
    <w:rsid w:val="006452B6"/>
    <w:rsid w:val="00646BA3"/>
    <w:rsid w:val="00656DC2"/>
    <w:rsid w:val="00660385"/>
    <w:rsid w:val="00661134"/>
    <w:rsid w:val="00661A68"/>
    <w:rsid w:val="0066315B"/>
    <w:rsid w:val="00666519"/>
    <w:rsid w:val="0067235D"/>
    <w:rsid w:val="00673A02"/>
    <w:rsid w:val="00680944"/>
    <w:rsid w:val="006810C5"/>
    <w:rsid w:val="006811E9"/>
    <w:rsid w:val="00681A9A"/>
    <w:rsid w:val="00685356"/>
    <w:rsid w:val="00685C1B"/>
    <w:rsid w:val="00694A25"/>
    <w:rsid w:val="006A0285"/>
    <w:rsid w:val="006A1E2E"/>
    <w:rsid w:val="006A27EC"/>
    <w:rsid w:val="006A2D03"/>
    <w:rsid w:val="006A4298"/>
    <w:rsid w:val="006A45D5"/>
    <w:rsid w:val="006B20EB"/>
    <w:rsid w:val="006B357A"/>
    <w:rsid w:val="006C0B71"/>
    <w:rsid w:val="006C18CD"/>
    <w:rsid w:val="006C3026"/>
    <w:rsid w:val="006C46B1"/>
    <w:rsid w:val="006C5EB0"/>
    <w:rsid w:val="006C69F0"/>
    <w:rsid w:val="006D11D7"/>
    <w:rsid w:val="006D4926"/>
    <w:rsid w:val="006D727D"/>
    <w:rsid w:val="006F033B"/>
    <w:rsid w:val="006F0D93"/>
    <w:rsid w:val="006F2D9B"/>
    <w:rsid w:val="006F7DA2"/>
    <w:rsid w:val="00700E4C"/>
    <w:rsid w:val="00700E97"/>
    <w:rsid w:val="007023F7"/>
    <w:rsid w:val="00704F69"/>
    <w:rsid w:val="0070748F"/>
    <w:rsid w:val="007113DE"/>
    <w:rsid w:val="00713AB1"/>
    <w:rsid w:val="00713AE1"/>
    <w:rsid w:val="00715701"/>
    <w:rsid w:val="00717C5C"/>
    <w:rsid w:val="00720D42"/>
    <w:rsid w:val="00722AB9"/>
    <w:rsid w:val="007306DA"/>
    <w:rsid w:val="00742272"/>
    <w:rsid w:val="007460C4"/>
    <w:rsid w:val="00752A78"/>
    <w:rsid w:val="00753876"/>
    <w:rsid w:val="00757687"/>
    <w:rsid w:val="00760A1B"/>
    <w:rsid w:val="00762399"/>
    <w:rsid w:val="007629CD"/>
    <w:rsid w:val="00775A8E"/>
    <w:rsid w:val="007808FE"/>
    <w:rsid w:val="0079418E"/>
    <w:rsid w:val="00796CEA"/>
    <w:rsid w:val="00796D97"/>
    <w:rsid w:val="007A4CE8"/>
    <w:rsid w:val="007A50AA"/>
    <w:rsid w:val="007A694D"/>
    <w:rsid w:val="007B1053"/>
    <w:rsid w:val="007B1376"/>
    <w:rsid w:val="007B17C1"/>
    <w:rsid w:val="007B4B6A"/>
    <w:rsid w:val="007B4E90"/>
    <w:rsid w:val="007B67FD"/>
    <w:rsid w:val="007B6A1E"/>
    <w:rsid w:val="007B6E46"/>
    <w:rsid w:val="007B70F0"/>
    <w:rsid w:val="007C233D"/>
    <w:rsid w:val="007C3D77"/>
    <w:rsid w:val="007C42CF"/>
    <w:rsid w:val="007C4EC1"/>
    <w:rsid w:val="007C54A6"/>
    <w:rsid w:val="007C5C4B"/>
    <w:rsid w:val="007C65E8"/>
    <w:rsid w:val="007D4618"/>
    <w:rsid w:val="007D58C7"/>
    <w:rsid w:val="007D7CAE"/>
    <w:rsid w:val="007E0451"/>
    <w:rsid w:val="007E1C5A"/>
    <w:rsid w:val="007E417C"/>
    <w:rsid w:val="00805C41"/>
    <w:rsid w:val="008136E0"/>
    <w:rsid w:val="00822DD4"/>
    <w:rsid w:val="00831A18"/>
    <w:rsid w:val="00840669"/>
    <w:rsid w:val="0084771A"/>
    <w:rsid w:val="00850C2A"/>
    <w:rsid w:val="00854B94"/>
    <w:rsid w:val="00855262"/>
    <w:rsid w:val="00861483"/>
    <w:rsid w:val="00861DF9"/>
    <w:rsid w:val="00862315"/>
    <w:rsid w:val="0086249D"/>
    <w:rsid w:val="00870285"/>
    <w:rsid w:val="0087096F"/>
    <w:rsid w:val="008716B0"/>
    <w:rsid w:val="0087401D"/>
    <w:rsid w:val="00877215"/>
    <w:rsid w:val="00877261"/>
    <w:rsid w:val="00880795"/>
    <w:rsid w:val="00880A3D"/>
    <w:rsid w:val="0088414A"/>
    <w:rsid w:val="00890837"/>
    <w:rsid w:val="00894F1B"/>
    <w:rsid w:val="008962A6"/>
    <w:rsid w:val="00897632"/>
    <w:rsid w:val="008A0E1A"/>
    <w:rsid w:val="008A557E"/>
    <w:rsid w:val="008A5E2F"/>
    <w:rsid w:val="008A7696"/>
    <w:rsid w:val="008B2626"/>
    <w:rsid w:val="008B3BF0"/>
    <w:rsid w:val="008B4131"/>
    <w:rsid w:val="008B4A67"/>
    <w:rsid w:val="008C57BE"/>
    <w:rsid w:val="008C7CDA"/>
    <w:rsid w:val="008D0E5B"/>
    <w:rsid w:val="008D5346"/>
    <w:rsid w:val="008F1BE0"/>
    <w:rsid w:val="008F217B"/>
    <w:rsid w:val="00901BC7"/>
    <w:rsid w:val="0090500D"/>
    <w:rsid w:val="009062A8"/>
    <w:rsid w:val="00910F62"/>
    <w:rsid w:val="00912261"/>
    <w:rsid w:val="00915BE7"/>
    <w:rsid w:val="00920026"/>
    <w:rsid w:val="009209EE"/>
    <w:rsid w:val="00920F2B"/>
    <w:rsid w:val="00923FCD"/>
    <w:rsid w:val="009249E1"/>
    <w:rsid w:val="0092788C"/>
    <w:rsid w:val="0093086E"/>
    <w:rsid w:val="0093197A"/>
    <w:rsid w:val="0093210C"/>
    <w:rsid w:val="00932540"/>
    <w:rsid w:val="00933971"/>
    <w:rsid w:val="00937BB1"/>
    <w:rsid w:val="00942AF9"/>
    <w:rsid w:val="009443DE"/>
    <w:rsid w:val="009458E3"/>
    <w:rsid w:val="009459F3"/>
    <w:rsid w:val="0094785E"/>
    <w:rsid w:val="00952965"/>
    <w:rsid w:val="00963A1C"/>
    <w:rsid w:val="0097095B"/>
    <w:rsid w:val="00970E34"/>
    <w:rsid w:val="009736C8"/>
    <w:rsid w:val="00973816"/>
    <w:rsid w:val="0097500C"/>
    <w:rsid w:val="00975A40"/>
    <w:rsid w:val="009761FA"/>
    <w:rsid w:val="00976B45"/>
    <w:rsid w:val="00982491"/>
    <w:rsid w:val="00983D31"/>
    <w:rsid w:val="00985F53"/>
    <w:rsid w:val="00986824"/>
    <w:rsid w:val="00986B29"/>
    <w:rsid w:val="00990324"/>
    <w:rsid w:val="0099055C"/>
    <w:rsid w:val="00991032"/>
    <w:rsid w:val="00993F58"/>
    <w:rsid w:val="00994625"/>
    <w:rsid w:val="00996EE9"/>
    <w:rsid w:val="0099771D"/>
    <w:rsid w:val="009A05FA"/>
    <w:rsid w:val="009B370A"/>
    <w:rsid w:val="009B6B75"/>
    <w:rsid w:val="009C0167"/>
    <w:rsid w:val="009C0DF0"/>
    <w:rsid w:val="009C4FF7"/>
    <w:rsid w:val="009C6455"/>
    <w:rsid w:val="009D06A6"/>
    <w:rsid w:val="009D3B71"/>
    <w:rsid w:val="009D4420"/>
    <w:rsid w:val="009D4DC7"/>
    <w:rsid w:val="009D55A5"/>
    <w:rsid w:val="009D7F95"/>
    <w:rsid w:val="009E13CF"/>
    <w:rsid w:val="009E250D"/>
    <w:rsid w:val="009E32FF"/>
    <w:rsid w:val="009F0639"/>
    <w:rsid w:val="009F1066"/>
    <w:rsid w:val="00A01F67"/>
    <w:rsid w:val="00A02561"/>
    <w:rsid w:val="00A0446B"/>
    <w:rsid w:val="00A0641C"/>
    <w:rsid w:val="00A064F2"/>
    <w:rsid w:val="00A10C1A"/>
    <w:rsid w:val="00A1237F"/>
    <w:rsid w:val="00A13DB3"/>
    <w:rsid w:val="00A14C2D"/>
    <w:rsid w:val="00A20A88"/>
    <w:rsid w:val="00A20E66"/>
    <w:rsid w:val="00A220EC"/>
    <w:rsid w:val="00A27AB6"/>
    <w:rsid w:val="00A33350"/>
    <w:rsid w:val="00A42D67"/>
    <w:rsid w:val="00A43814"/>
    <w:rsid w:val="00A44B35"/>
    <w:rsid w:val="00A465B9"/>
    <w:rsid w:val="00A46DB0"/>
    <w:rsid w:val="00A51C5B"/>
    <w:rsid w:val="00A53851"/>
    <w:rsid w:val="00A53ECE"/>
    <w:rsid w:val="00A64B57"/>
    <w:rsid w:val="00A67572"/>
    <w:rsid w:val="00A7040E"/>
    <w:rsid w:val="00A71970"/>
    <w:rsid w:val="00A80C0C"/>
    <w:rsid w:val="00A83F72"/>
    <w:rsid w:val="00A86A56"/>
    <w:rsid w:val="00A87EB2"/>
    <w:rsid w:val="00A95FBA"/>
    <w:rsid w:val="00A9694E"/>
    <w:rsid w:val="00A97F29"/>
    <w:rsid w:val="00AA1040"/>
    <w:rsid w:val="00AA2939"/>
    <w:rsid w:val="00AA60A0"/>
    <w:rsid w:val="00AB75C6"/>
    <w:rsid w:val="00AB78DA"/>
    <w:rsid w:val="00AC1992"/>
    <w:rsid w:val="00AC3C32"/>
    <w:rsid w:val="00AD05EF"/>
    <w:rsid w:val="00AD09B6"/>
    <w:rsid w:val="00AD347C"/>
    <w:rsid w:val="00AD6CB5"/>
    <w:rsid w:val="00AE104C"/>
    <w:rsid w:val="00AE7488"/>
    <w:rsid w:val="00AF471E"/>
    <w:rsid w:val="00AF5291"/>
    <w:rsid w:val="00AF59EF"/>
    <w:rsid w:val="00B0438D"/>
    <w:rsid w:val="00B04E13"/>
    <w:rsid w:val="00B0637D"/>
    <w:rsid w:val="00B06F0B"/>
    <w:rsid w:val="00B0780B"/>
    <w:rsid w:val="00B10EA2"/>
    <w:rsid w:val="00B12004"/>
    <w:rsid w:val="00B12144"/>
    <w:rsid w:val="00B251D9"/>
    <w:rsid w:val="00B32D99"/>
    <w:rsid w:val="00B33DCA"/>
    <w:rsid w:val="00B360A5"/>
    <w:rsid w:val="00B371D9"/>
    <w:rsid w:val="00B47798"/>
    <w:rsid w:val="00B53A97"/>
    <w:rsid w:val="00B54570"/>
    <w:rsid w:val="00B55C09"/>
    <w:rsid w:val="00B611C3"/>
    <w:rsid w:val="00B6493C"/>
    <w:rsid w:val="00B719A0"/>
    <w:rsid w:val="00B84BEB"/>
    <w:rsid w:val="00B85658"/>
    <w:rsid w:val="00B85E8D"/>
    <w:rsid w:val="00B8653A"/>
    <w:rsid w:val="00B86D6F"/>
    <w:rsid w:val="00B902FF"/>
    <w:rsid w:val="00B9031E"/>
    <w:rsid w:val="00B9698A"/>
    <w:rsid w:val="00B97AF7"/>
    <w:rsid w:val="00BA08E4"/>
    <w:rsid w:val="00BA133A"/>
    <w:rsid w:val="00BA2375"/>
    <w:rsid w:val="00BA2AD4"/>
    <w:rsid w:val="00BA4802"/>
    <w:rsid w:val="00BB5ADD"/>
    <w:rsid w:val="00BB6939"/>
    <w:rsid w:val="00BC1F17"/>
    <w:rsid w:val="00BC2812"/>
    <w:rsid w:val="00BD0483"/>
    <w:rsid w:val="00BD17C2"/>
    <w:rsid w:val="00BD2546"/>
    <w:rsid w:val="00BD6CFB"/>
    <w:rsid w:val="00BD6ECD"/>
    <w:rsid w:val="00BE385D"/>
    <w:rsid w:val="00BF009B"/>
    <w:rsid w:val="00BF08A4"/>
    <w:rsid w:val="00BF6C88"/>
    <w:rsid w:val="00C100E0"/>
    <w:rsid w:val="00C1070B"/>
    <w:rsid w:val="00C10EF0"/>
    <w:rsid w:val="00C13017"/>
    <w:rsid w:val="00C153F9"/>
    <w:rsid w:val="00C16007"/>
    <w:rsid w:val="00C16D6C"/>
    <w:rsid w:val="00C20742"/>
    <w:rsid w:val="00C22793"/>
    <w:rsid w:val="00C2757C"/>
    <w:rsid w:val="00C335D5"/>
    <w:rsid w:val="00C36E72"/>
    <w:rsid w:val="00C378D9"/>
    <w:rsid w:val="00C37AAF"/>
    <w:rsid w:val="00C37FDA"/>
    <w:rsid w:val="00C41186"/>
    <w:rsid w:val="00C42DD9"/>
    <w:rsid w:val="00C46906"/>
    <w:rsid w:val="00C5201A"/>
    <w:rsid w:val="00C52A20"/>
    <w:rsid w:val="00C55EA7"/>
    <w:rsid w:val="00C565AF"/>
    <w:rsid w:val="00C56B49"/>
    <w:rsid w:val="00C571CB"/>
    <w:rsid w:val="00C703F7"/>
    <w:rsid w:val="00C74972"/>
    <w:rsid w:val="00C77924"/>
    <w:rsid w:val="00C86A2E"/>
    <w:rsid w:val="00C95666"/>
    <w:rsid w:val="00CA2CD4"/>
    <w:rsid w:val="00CA3552"/>
    <w:rsid w:val="00CA6E19"/>
    <w:rsid w:val="00CB0965"/>
    <w:rsid w:val="00CB2384"/>
    <w:rsid w:val="00CB30FF"/>
    <w:rsid w:val="00CB3C72"/>
    <w:rsid w:val="00CC0619"/>
    <w:rsid w:val="00CC11A6"/>
    <w:rsid w:val="00CC6906"/>
    <w:rsid w:val="00CC73A6"/>
    <w:rsid w:val="00CD6B2A"/>
    <w:rsid w:val="00CE0341"/>
    <w:rsid w:val="00CE1D5E"/>
    <w:rsid w:val="00CE4AA6"/>
    <w:rsid w:val="00CE66C3"/>
    <w:rsid w:val="00CE7451"/>
    <w:rsid w:val="00CF0FFF"/>
    <w:rsid w:val="00CF109E"/>
    <w:rsid w:val="00CF3785"/>
    <w:rsid w:val="00D0191A"/>
    <w:rsid w:val="00D01F61"/>
    <w:rsid w:val="00D068FA"/>
    <w:rsid w:val="00D152A2"/>
    <w:rsid w:val="00D218AD"/>
    <w:rsid w:val="00D23FA4"/>
    <w:rsid w:val="00D24E97"/>
    <w:rsid w:val="00D3515A"/>
    <w:rsid w:val="00D35DB0"/>
    <w:rsid w:val="00D405F7"/>
    <w:rsid w:val="00D411FB"/>
    <w:rsid w:val="00D44521"/>
    <w:rsid w:val="00D4468B"/>
    <w:rsid w:val="00D46B9C"/>
    <w:rsid w:val="00D46EDE"/>
    <w:rsid w:val="00D52443"/>
    <w:rsid w:val="00D53013"/>
    <w:rsid w:val="00D56CA5"/>
    <w:rsid w:val="00D623F8"/>
    <w:rsid w:val="00D635E6"/>
    <w:rsid w:val="00D655E8"/>
    <w:rsid w:val="00D703AE"/>
    <w:rsid w:val="00D71C59"/>
    <w:rsid w:val="00D73361"/>
    <w:rsid w:val="00D75C0C"/>
    <w:rsid w:val="00D7690A"/>
    <w:rsid w:val="00D77E77"/>
    <w:rsid w:val="00D959C9"/>
    <w:rsid w:val="00D9648D"/>
    <w:rsid w:val="00D96588"/>
    <w:rsid w:val="00DA1956"/>
    <w:rsid w:val="00DA793F"/>
    <w:rsid w:val="00DB2244"/>
    <w:rsid w:val="00DB2757"/>
    <w:rsid w:val="00DB4255"/>
    <w:rsid w:val="00DB58F8"/>
    <w:rsid w:val="00DC20D7"/>
    <w:rsid w:val="00DC3D55"/>
    <w:rsid w:val="00DC64E5"/>
    <w:rsid w:val="00DC71B9"/>
    <w:rsid w:val="00DD6173"/>
    <w:rsid w:val="00DE14F9"/>
    <w:rsid w:val="00DE48E0"/>
    <w:rsid w:val="00DE4A55"/>
    <w:rsid w:val="00DF0980"/>
    <w:rsid w:val="00DF526C"/>
    <w:rsid w:val="00E032CE"/>
    <w:rsid w:val="00E03B7F"/>
    <w:rsid w:val="00E04769"/>
    <w:rsid w:val="00E0603B"/>
    <w:rsid w:val="00E1341F"/>
    <w:rsid w:val="00E152F3"/>
    <w:rsid w:val="00E20D17"/>
    <w:rsid w:val="00E225A4"/>
    <w:rsid w:val="00E23387"/>
    <w:rsid w:val="00E26362"/>
    <w:rsid w:val="00E34191"/>
    <w:rsid w:val="00E428CA"/>
    <w:rsid w:val="00E51CAA"/>
    <w:rsid w:val="00E54F46"/>
    <w:rsid w:val="00E568DD"/>
    <w:rsid w:val="00E649B4"/>
    <w:rsid w:val="00E67EA4"/>
    <w:rsid w:val="00E74077"/>
    <w:rsid w:val="00E8163A"/>
    <w:rsid w:val="00E84CA8"/>
    <w:rsid w:val="00E8648D"/>
    <w:rsid w:val="00E915AA"/>
    <w:rsid w:val="00E9405A"/>
    <w:rsid w:val="00E97396"/>
    <w:rsid w:val="00EA785C"/>
    <w:rsid w:val="00EB6C1B"/>
    <w:rsid w:val="00EC0A0B"/>
    <w:rsid w:val="00EC1ABB"/>
    <w:rsid w:val="00EC2918"/>
    <w:rsid w:val="00EC5A7F"/>
    <w:rsid w:val="00EC5A95"/>
    <w:rsid w:val="00EC6B25"/>
    <w:rsid w:val="00EC7A3E"/>
    <w:rsid w:val="00ED2609"/>
    <w:rsid w:val="00ED3DE9"/>
    <w:rsid w:val="00ED5C12"/>
    <w:rsid w:val="00EE0E61"/>
    <w:rsid w:val="00EE238E"/>
    <w:rsid w:val="00EE7DE6"/>
    <w:rsid w:val="00EF2B27"/>
    <w:rsid w:val="00EF394F"/>
    <w:rsid w:val="00EF708B"/>
    <w:rsid w:val="00F16267"/>
    <w:rsid w:val="00F1664B"/>
    <w:rsid w:val="00F1736E"/>
    <w:rsid w:val="00F210F6"/>
    <w:rsid w:val="00F2418D"/>
    <w:rsid w:val="00F2638F"/>
    <w:rsid w:val="00F26A1A"/>
    <w:rsid w:val="00F31685"/>
    <w:rsid w:val="00F31F96"/>
    <w:rsid w:val="00F331B4"/>
    <w:rsid w:val="00F338F0"/>
    <w:rsid w:val="00F34344"/>
    <w:rsid w:val="00F346F5"/>
    <w:rsid w:val="00F456C4"/>
    <w:rsid w:val="00F46362"/>
    <w:rsid w:val="00F47F5F"/>
    <w:rsid w:val="00F50ED2"/>
    <w:rsid w:val="00F53CD9"/>
    <w:rsid w:val="00F6321A"/>
    <w:rsid w:val="00F639D1"/>
    <w:rsid w:val="00F65AD6"/>
    <w:rsid w:val="00F7631F"/>
    <w:rsid w:val="00F7706A"/>
    <w:rsid w:val="00F77DA2"/>
    <w:rsid w:val="00F83225"/>
    <w:rsid w:val="00F8337A"/>
    <w:rsid w:val="00F83FA0"/>
    <w:rsid w:val="00F84B6B"/>
    <w:rsid w:val="00F958CF"/>
    <w:rsid w:val="00FA1581"/>
    <w:rsid w:val="00FA1E8E"/>
    <w:rsid w:val="00FA30D5"/>
    <w:rsid w:val="00FA4C1D"/>
    <w:rsid w:val="00FA54D0"/>
    <w:rsid w:val="00FA58D2"/>
    <w:rsid w:val="00FB2CD6"/>
    <w:rsid w:val="00FB4216"/>
    <w:rsid w:val="00FB5AE0"/>
    <w:rsid w:val="00FB66BD"/>
    <w:rsid w:val="00FC1C1D"/>
    <w:rsid w:val="00FC3673"/>
    <w:rsid w:val="00FC3DCA"/>
    <w:rsid w:val="00FD0C93"/>
    <w:rsid w:val="00FD24AF"/>
    <w:rsid w:val="00FE6A73"/>
    <w:rsid w:val="00FF1762"/>
    <w:rsid w:val="00FF41A3"/>
    <w:rsid w:val="00FF5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7539"/>
  <w15:chartTrackingRefBased/>
  <w15:docId w15:val="{FF5FE317-1F7D-A14E-93E2-8497F204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6B4"/>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C4A"/>
    <w:rPr>
      <w:color w:val="0563C1" w:themeColor="hyperlink"/>
      <w:u w:val="single"/>
    </w:rPr>
  </w:style>
  <w:style w:type="character" w:styleId="UnresolvedMention">
    <w:name w:val="Unresolved Mention"/>
    <w:basedOn w:val="DefaultParagraphFont"/>
    <w:uiPriority w:val="99"/>
    <w:semiHidden/>
    <w:unhideWhenUsed/>
    <w:rsid w:val="004E7C4A"/>
    <w:rPr>
      <w:color w:val="605E5C"/>
      <w:shd w:val="clear" w:color="auto" w:fill="E1DFDD"/>
    </w:rPr>
  </w:style>
  <w:style w:type="paragraph" w:styleId="ListParagraph">
    <w:name w:val="List Paragraph"/>
    <w:basedOn w:val="Normal"/>
    <w:uiPriority w:val="34"/>
    <w:qFormat/>
    <w:rsid w:val="00045BC5"/>
    <w:pPr>
      <w:ind w:left="720"/>
      <w:contextualSpacing/>
    </w:pPr>
    <w:rPr>
      <w:rFonts w:asciiTheme="minorHAnsi" w:eastAsiaTheme="minorHAnsi" w:hAnsiTheme="minorHAnsi" w:cstheme="minorBidi"/>
      <w:kern w:val="2"/>
      <w14:ligatures w14:val="standardContextual"/>
    </w:rPr>
  </w:style>
  <w:style w:type="character" w:styleId="FollowedHyperlink">
    <w:name w:val="FollowedHyperlink"/>
    <w:basedOn w:val="DefaultParagraphFont"/>
    <w:uiPriority w:val="99"/>
    <w:semiHidden/>
    <w:unhideWhenUsed/>
    <w:rsid w:val="00045BC5"/>
    <w:rPr>
      <w:color w:val="954F72" w:themeColor="followedHyperlink"/>
      <w:u w:val="single"/>
    </w:rPr>
  </w:style>
  <w:style w:type="paragraph" w:styleId="Revision">
    <w:name w:val="Revision"/>
    <w:hidden/>
    <w:uiPriority w:val="99"/>
    <w:semiHidden/>
    <w:rsid w:val="003607A5"/>
  </w:style>
  <w:style w:type="paragraph" w:styleId="NormalWeb">
    <w:name w:val="Normal (Web)"/>
    <w:basedOn w:val="Normal"/>
    <w:uiPriority w:val="99"/>
    <w:unhideWhenUsed/>
    <w:rsid w:val="003607A5"/>
    <w:pPr>
      <w:spacing w:before="100" w:beforeAutospacing="1" w:after="100" w:afterAutospacing="1"/>
    </w:pPr>
  </w:style>
  <w:style w:type="character" w:styleId="CommentReference">
    <w:name w:val="annotation reference"/>
    <w:basedOn w:val="DefaultParagraphFont"/>
    <w:uiPriority w:val="99"/>
    <w:semiHidden/>
    <w:unhideWhenUsed/>
    <w:rsid w:val="00BC2812"/>
    <w:rPr>
      <w:sz w:val="16"/>
      <w:szCs w:val="16"/>
    </w:rPr>
  </w:style>
  <w:style w:type="paragraph" w:styleId="CommentText">
    <w:name w:val="annotation text"/>
    <w:basedOn w:val="Normal"/>
    <w:link w:val="CommentTextChar"/>
    <w:uiPriority w:val="99"/>
    <w:unhideWhenUsed/>
    <w:rsid w:val="00BC2812"/>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BC2812"/>
    <w:rPr>
      <w:sz w:val="20"/>
      <w:szCs w:val="20"/>
    </w:rPr>
  </w:style>
  <w:style w:type="paragraph" w:styleId="CommentSubject">
    <w:name w:val="annotation subject"/>
    <w:basedOn w:val="CommentText"/>
    <w:next w:val="CommentText"/>
    <w:link w:val="CommentSubjectChar"/>
    <w:uiPriority w:val="99"/>
    <w:semiHidden/>
    <w:unhideWhenUsed/>
    <w:rsid w:val="00BC2812"/>
    <w:rPr>
      <w:b/>
      <w:bCs/>
    </w:rPr>
  </w:style>
  <w:style w:type="character" w:customStyle="1" w:styleId="CommentSubjectChar">
    <w:name w:val="Comment Subject Char"/>
    <w:basedOn w:val="CommentTextChar"/>
    <w:link w:val="CommentSubject"/>
    <w:uiPriority w:val="99"/>
    <w:semiHidden/>
    <w:rsid w:val="00BC2812"/>
    <w:rPr>
      <w:b/>
      <w:bCs/>
      <w:sz w:val="20"/>
      <w:szCs w:val="20"/>
    </w:rPr>
  </w:style>
  <w:style w:type="paragraph" w:styleId="Header">
    <w:name w:val="header"/>
    <w:basedOn w:val="Normal"/>
    <w:link w:val="HeaderChar"/>
    <w:uiPriority w:val="99"/>
    <w:unhideWhenUsed/>
    <w:rsid w:val="003C6F6E"/>
    <w:pPr>
      <w:tabs>
        <w:tab w:val="center" w:pos="4680"/>
        <w:tab w:val="right" w:pos="9360"/>
      </w:tabs>
    </w:pPr>
  </w:style>
  <w:style w:type="character" w:customStyle="1" w:styleId="HeaderChar">
    <w:name w:val="Header Char"/>
    <w:basedOn w:val="DefaultParagraphFont"/>
    <w:link w:val="Header"/>
    <w:uiPriority w:val="99"/>
    <w:rsid w:val="003C6F6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C6F6E"/>
    <w:pPr>
      <w:tabs>
        <w:tab w:val="center" w:pos="4680"/>
        <w:tab w:val="right" w:pos="9360"/>
      </w:tabs>
    </w:pPr>
  </w:style>
  <w:style w:type="character" w:customStyle="1" w:styleId="FooterChar">
    <w:name w:val="Footer Char"/>
    <w:basedOn w:val="DefaultParagraphFont"/>
    <w:link w:val="Footer"/>
    <w:uiPriority w:val="99"/>
    <w:rsid w:val="003C6F6E"/>
    <w:rPr>
      <w:rFonts w:ascii="Times New Roman" w:eastAsia="Times New Roman" w:hAnsi="Times New Roman" w:cs="Times New Roman"/>
      <w:kern w:val="0"/>
      <w14:ligatures w14:val="none"/>
    </w:rPr>
  </w:style>
  <w:style w:type="character" w:styleId="Strong">
    <w:name w:val="Strong"/>
    <w:basedOn w:val="DefaultParagraphFont"/>
    <w:uiPriority w:val="22"/>
    <w:qFormat/>
    <w:rsid w:val="00E8648D"/>
    <w:rPr>
      <w:b/>
      <w:bCs/>
    </w:rPr>
  </w:style>
  <w:style w:type="character" w:styleId="Emphasis">
    <w:name w:val="Emphasis"/>
    <w:basedOn w:val="DefaultParagraphFont"/>
    <w:uiPriority w:val="20"/>
    <w:qFormat/>
    <w:rsid w:val="003E6F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9846">
      <w:bodyDiv w:val="1"/>
      <w:marLeft w:val="0"/>
      <w:marRight w:val="0"/>
      <w:marTop w:val="0"/>
      <w:marBottom w:val="0"/>
      <w:divBdr>
        <w:top w:val="none" w:sz="0" w:space="0" w:color="auto"/>
        <w:left w:val="none" w:sz="0" w:space="0" w:color="auto"/>
        <w:bottom w:val="none" w:sz="0" w:space="0" w:color="auto"/>
        <w:right w:val="none" w:sz="0" w:space="0" w:color="auto"/>
      </w:divBdr>
    </w:div>
    <w:div w:id="389811572">
      <w:bodyDiv w:val="1"/>
      <w:marLeft w:val="0"/>
      <w:marRight w:val="0"/>
      <w:marTop w:val="0"/>
      <w:marBottom w:val="0"/>
      <w:divBdr>
        <w:top w:val="none" w:sz="0" w:space="0" w:color="auto"/>
        <w:left w:val="none" w:sz="0" w:space="0" w:color="auto"/>
        <w:bottom w:val="none" w:sz="0" w:space="0" w:color="auto"/>
        <w:right w:val="none" w:sz="0" w:space="0" w:color="auto"/>
      </w:divBdr>
    </w:div>
    <w:div w:id="441387861">
      <w:bodyDiv w:val="1"/>
      <w:marLeft w:val="0"/>
      <w:marRight w:val="0"/>
      <w:marTop w:val="0"/>
      <w:marBottom w:val="0"/>
      <w:divBdr>
        <w:top w:val="none" w:sz="0" w:space="0" w:color="auto"/>
        <w:left w:val="none" w:sz="0" w:space="0" w:color="auto"/>
        <w:bottom w:val="none" w:sz="0" w:space="0" w:color="auto"/>
        <w:right w:val="none" w:sz="0" w:space="0" w:color="auto"/>
      </w:divBdr>
    </w:div>
    <w:div w:id="454326550">
      <w:bodyDiv w:val="1"/>
      <w:marLeft w:val="0"/>
      <w:marRight w:val="0"/>
      <w:marTop w:val="0"/>
      <w:marBottom w:val="0"/>
      <w:divBdr>
        <w:top w:val="none" w:sz="0" w:space="0" w:color="auto"/>
        <w:left w:val="none" w:sz="0" w:space="0" w:color="auto"/>
        <w:bottom w:val="none" w:sz="0" w:space="0" w:color="auto"/>
        <w:right w:val="none" w:sz="0" w:space="0" w:color="auto"/>
      </w:divBdr>
    </w:div>
    <w:div w:id="461312905">
      <w:bodyDiv w:val="1"/>
      <w:marLeft w:val="0"/>
      <w:marRight w:val="0"/>
      <w:marTop w:val="0"/>
      <w:marBottom w:val="0"/>
      <w:divBdr>
        <w:top w:val="none" w:sz="0" w:space="0" w:color="auto"/>
        <w:left w:val="none" w:sz="0" w:space="0" w:color="auto"/>
        <w:bottom w:val="none" w:sz="0" w:space="0" w:color="auto"/>
        <w:right w:val="none" w:sz="0" w:space="0" w:color="auto"/>
      </w:divBdr>
      <w:divsChild>
        <w:div w:id="493688453">
          <w:marLeft w:val="0"/>
          <w:marRight w:val="0"/>
          <w:marTop w:val="0"/>
          <w:marBottom w:val="0"/>
          <w:divBdr>
            <w:top w:val="single" w:sz="2" w:space="0" w:color="000000"/>
            <w:left w:val="single" w:sz="2" w:space="0" w:color="000000"/>
            <w:bottom w:val="single" w:sz="2" w:space="0" w:color="000000"/>
            <w:right w:val="single" w:sz="2" w:space="0" w:color="000000"/>
          </w:divBdr>
          <w:divsChild>
            <w:div w:id="582178102">
              <w:marLeft w:val="0"/>
              <w:marRight w:val="0"/>
              <w:marTop w:val="180"/>
              <w:marBottom w:val="0"/>
              <w:divBdr>
                <w:top w:val="single" w:sz="2" w:space="0" w:color="000000"/>
                <w:left w:val="single" w:sz="2" w:space="0" w:color="000000"/>
                <w:bottom w:val="single" w:sz="2" w:space="0" w:color="000000"/>
                <w:right w:val="single" w:sz="2" w:space="0" w:color="000000"/>
              </w:divBdr>
              <w:divsChild>
                <w:div w:id="1805584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66657940">
          <w:marLeft w:val="0"/>
          <w:marRight w:val="0"/>
          <w:marTop w:val="0"/>
          <w:marBottom w:val="0"/>
          <w:divBdr>
            <w:top w:val="single" w:sz="2" w:space="0" w:color="000000"/>
            <w:left w:val="single" w:sz="2" w:space="0" w:color="000000"/>
            <w:bottom w:val="single" w:sz="2" w:space="0" w:color="000000"/>
            <w:right w:val="single" w:sz="2" w:space="0" w:color="000000"/>
          </w:divBdr>
          <w:divsChild>
            <w:div w:id="394356502">
              <w:marLeft w:val="0"/>
              <w:marRight w:val="0"/>
              <w:marTop w:val="180"/>
              <w:marBottom w:val="0"/>
              <w:divBdr>
                <w:top w:val="single" w:sz="2" w:space="0" w:color="000000"/>
                <w:left w:val="single" w:sz="2" w:space="0" w:color="000000"/>
                <w:bottom w:val="single" w:sz="2" w:space="0" w:color="000000"/>
                <w:right w:val="single" w:sz="2" w:space="0" w:color="000000"/>
              </w:divBdr>
              <w:divsChild>
                <w:div w:id="1696615096">
                  <w:marLeft w:val="0"/>
                  <w:marRight w:val="0"/>
                  <w:marTop w:val="0"/>
                  <w:marBottom w:val="0"/>
                  <w:divBdr>
                    <w:top w:val="single" w:sz="2" w:space="0" w:color="000000"/>
                    <w:left w:val="single" w:sz="2" w:space="0" w:color="000000"/>
                    <w:bottom w:val="single" w:sz="2" w:space="0" w:color="000000"/>
                    <w:right w:val="single" w:sz="2" w:space="0" w:color="000000"/>
                  </w:divBdr>
                  <w:divsChild>
                    <w:div w:id="273875163">
                      <w:marLeft w:val="0"/>
                      <w:marRight w:val="0"/>
                      <w:marTop w:val="0"/>
                      <w:marBottom w:val="0"/>
                      <w:divBdr>
                        <w:top w:val="single" w:sz="2" w:space="0" w:color="000000"/>
                        <w:left w:val="single" w:sz="2" w:space="0" w:color="000000"/>
                        <w:bottom w:val="single" w:sz="2" w:space="0" w:color="000000"/>
                        <w:right w:val="single" w:sz="2" w:space="0" w:color="000000"/>
                      </w:divBdr>
                      <w:divsChild>
                        <w:div w:id="952589479">
                          <w:marLeft w:val="0"/>
                          <w:marRight w:val="0"/>
                          <w:marTop w:val="0"/>
                          <w:marBottom w:val="0"/>
                          <w:divBdr>
                            <w:top w:val="single" w:sz="2" w:space="0" w:color="000000"/>
                            <w:left w:val="single" w:sz="2" w:space="0" w:color="000000"/>
                            <w:bottom w:val="single" w:sz="2" w:space="0" w:color="000000"/>
                            <w:right w:val="single" w:sz="2" w:space="0" w:color="000000"/>
                          </w:divBdr>
                          <w:divsChild>
                            <w:div w:id="222564588">
                              <w:marLeft w:val="0"/>
                              <w:marRight w:val="0"/>
                              <w:marTop w:val="0"/>
                              <w:marBottom w:val="0"/>
                              <w:divBdr>
                                <w:top w:val="single" w:sz="6" w:space="0" w:color="2F3336"/>
                                <w:left w:val="single" w:sz="6" w:space="0" w:color="2F3336"/>
                                <w:bottom w:val="single" w:sz="6" w:space="0" w:color="2F3336"/>
                                <w:right w:val="single" w:sz="6" w:space="0" w:color="2F3336"/>
                              </w:divBdr>
                              <w:divsChild>
                                <w:div w:id="1733193583">
                                  <w:marLeft w:val="0"/>
                                  <w:marRight w:val="0"/>
                                  <w:marTop w:val="0"/>
                                  <w:marBottom w:val="0"/>
                                  <w:divBdr>
                                    <w:top w:val="single" w:sz="2" w:space="0" w:color="000000"/>
                                    <w:left w:val="single" w:sz="2" w:space="0" w:color="000000"/>
                                    <w:bottom w:val="single" w:sz="2" w:space="0" w:color="000000"/>
                                    <w:right w:val="single" w:sz="2" w:space="0" w:color="000000"/>
                                  </w:divBdr>
                                  <w:divsChild>
                                    <w:div w:id="1372653831">
                                      <w:marLeft w:val="0"/>
                                      <w:marRight w:val="0"/>
                                      <w:marTop w:val="0"/>
                                      <w:marBottom w:val="0"/>
                                      <w:divBdr>
                                        <w:top w:val="single" w:sz="2" w:space="0" w:color="000000"/>
                                        <w:left w:val="single" w:sz="2" w:space="0" w:color="000000"/>
                                        <w:bottom w:val="single" w:sz="2" w:space="0" w:color="000000"/>
                                        <w:right w:val="single" w:sz="2" w:space="0" w:color="000000"/>
                                      </w:divBdr>
                                      <w:divsChild>
                                        <w:div w:id="1756200164">
                                          <w:marLeft w:val="0"/>
                                          <w:marRight w:val="0"/>
                                          <w:marTop w:val="0"/>
                                          <w:marBottom w:val="0"/>
                                          <w:divBdr>
                                            <w:top w:val="single" w:sz="2" w:space="0" w:color="000000"/>
                                            <w:left w:val="single" w:sz="2" w:space="0" w:color="000000"/>
                                            <w:bottom w:val="single" w:sz="2" w:space="0" w:color="000000"/>
                                            <w:right w:val="single" w:sz="2" w:space="0" w:color="000000"/>
                                          </w:divBdr>
                                          <w:divsChild>
                                            <w:div w:id="1806193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803426462">
      <w:bodyDiv w:val="1"/>
      <w:marLeft w:val="0"/>
      <w:marRight w:val="0"/>
      <w:marTop w:val="0"/>
      <w:marBottom w:val="0"/>
      <w:divBdr>
        <w:top w:val="none" w:sz="0" w:space="0" w:color="auto"/>
        <w:left w:val="none" w:sz="0" w:space="0" w:color="auto"/>
        <w:bottom w:val="none" w:sz="0" w:space="0" w:color="auto"/>
        <w:right w:val="none" w:sz="0" w:space="0" w:color="auto"/>
      </w:divBdr>
    </w:div>
    <w:div w:id="878250572">
      <w:bodyDiv w:val="1"/>
      <w:marLeft w:val="0"/>
      <w:marRight w:val="0"/>
      <w:marTop w:val="0"/>
      <w:marBottom w:val="0"/>
      <w:divBdr>
        <w:top w:val="none" w:sz="0" w:space="0" w:color="auto"/>
        <w:left w:val="none" w:sz="0" w:space="0" w:color="auto"/>
        <w:bottom w:val="none" w:sz="0" w:space="0" w:color="auto"/>
        <w:right w:val="none" w:sz="0" w:space="0" w:color="auto"/>
      </w:divBdr>
    </w:div>
    <w:div w:id="966621796">
      <w:bodyDiv w:val="1"/>
      <w:marLeft w:val="0"/>
      <w:marRight w:val="0"/>
      <w:marTop w:val="0"/>
      <w:marBottom w:val="0"/>
      <w:divBdr>
        <w:top w:val="none" w:sz="0" w:space="0" w:color="auto"/>
        <w:left w:val="none" w:sz="0" w:space="0" w:color="auto"/>
        <w:bottom w:val="none" w:sz="0" w:space="0" w:color="auto"/>
        <w:right w:val="none" w:sz="0" w:space="0" w:color="auto"/>
      </w:divBdr>
    </w:div>
    <w:div w:id="1141385023">
      <w:bodyDiv w:val="1"/>
      <w:marLeft w:val="0"/>
      <w:marRight w:val="0"/>
      <w:marTop w:val="0"/>
      <w:marBottom w:val="0"/>
      <w:divBdr>
        <w:top w:val="none" w:sz="0" w:space="0" w:color="auto"/>
        <w:left w:val="none" w:sz="0" w:space="0" w:color="auto"/>
        <w:bottom w:val="none" w:sz="0" w:space="0" w:color="auto"/>
        <w:right w:val="none" w:sz="0" w:space="0" w:color="auto"/>
      </w:divBdr>
    </w:div>
    <w:div w:id="1198815179">
      <w:bodyDiv w:val="1"/>
      <w:marLeft w:val="0"/>
      <w:marRight w:val="0"/>
      <w:marTop w:val="0"/>
      <w:marBottom w:val="0"/>
      <w:divBdr>
        <w:top w:val="none" w:sz="0" w:space="0" w:color="auto"/>
        <w:left w:val="none" w:sz="0" w:space="0" w:color="auto"/>
        <w:bottom w:val="none" w:sz="0" w:space="0" w:color="auto"/>
        <w:right w:val="none" w:sz="0" w:space="0" w:color="auto"/>
      </w:divBdr>
    </w:div>
    <w:div w:id="1200893338">
      <w:bodyDiv w:val="1"/>
      <w:marLeft w:val="0"/>
      <w:marRight w:val="0"/>
      <w:marTop w:val="0"/>
      <w:marBottom w:val="0"/>
      <w:divBdr>
        <w:top w:val="none" w:sz="0" w:space="0" w:color="auto"/>
        <w:left w:val="none" w:sz="0" w:space="0" w:color="auto"/>
        <w:bottom w:val="none" w:sz="0" w:space="0" w:color="auto"/>
        <w:right w:val="none" w:sz="0" w:space="0" w:color="auto"/>
      </w:divBdr>
    </w:div>
    <w:div w:id="1336348275">
      <w:bodyDiv w:val="1"/>
      <w:marLeft w:val="0"/>
      <w:marRight w:val="0"/>
      <w:marTop w:val="0"/>
      <w:marBottom w:val="0"/>
      <w:divBdr>
        <w:top w:val="none" w:sz="0" w:space="0" w:color="auto"/>
        <w:left w:val="none" w:sz="0" w:space="0" w:color="auto"/>
        <w:bottom w:val="none" w:sz="0" w:space="0" w:color="auto"/>
        <w:right w:val="none" w:sz="0" w:space="0" w:color="auto"/>
      </w:divBdr>
    </w:div>
    <w:div w:id="1635986106">
      <w:bodyDiv w:val="1"/>
      <w:marLeft w:val="0"/>
      <w:marRight w:val="0"/>
      <w:marTop w:val="0"/>
      <w:marBottom w:val="0"/>
      <w:divBdr>
        <w:top w:val="none" w:sz="0" w:space="0" w:color="auto"/>
        <w:left w:val="none" w:sz="0" w:space="0" w:color="auto"/>
        <w:bottom w:val="none" w:sz="0" w:space="0" w:color="auto"/>
        <w:right w:val="none" w:sz="0" w:space="0" w:color="auto"/>
      </w:divBdr>
      <w:divsChild>
        <w:div w:id="1120342717">
          <w:marLeft w:val="0"/>
          <w:marRight w:val="0"/>
          <w:marTop w:val="0"/>
          <w:marBottom w:val="0"/>
          <w:divBdr>
            <w:top w:val="none" w:sz="0" w:space="0" w:color="auto"/>
            <w:left w:val="none" w:sz="0" w:space="0" w:color="auto"/>
            <w:bottom w:val="none" w:sz="0" w:space="0" w:color="auto"/>
            <w:right w:val="none" w:sz="0" w:space="0" w:color="auto"/>
          </w:divBdr>
          <w:divsChild>
            <w:div w:id="19240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88424">
      <w:bodyDiv w:val="1"/>
      <w:marLeft w:val="0"/>
      <w:marRight w:val="0"/>
      <w:marTop w:val="0"/>
      <w:marBottom w:val="0"/>
      <w:divBdr>
        <w:top w:val="none" w:sz="0" w:space="0" w:color="auto"/>
        <w:left w:val="none" w:sz="0" w:space="0" w:color="auto"/>
        <w:bottom w:val="none" w:sz="0" w:space="0" w:color="auto"/>
        <w:right w:val="none" w:sz="0" w:space="0" w:color="auto"/>
      </w:divBdr>
    </w:div>
    <w:div w:id="1756777656">
      <w:bodyDiv w:val="1"/>
      <w:marLeft w:val="0"/>
      <w:marRight w:val="0"/>
      <w:marTop w:val="0"/>
      <w:marBottom w:val="0"/>
      <w:divBdr>
        <w:top w:val="none" w:sz="0" w:space="0" w:color="auto"/>
        <w:left w:val="none" w:sz="0" w:space="0" w:color="auto"/>
        <w:bottom w:val="none" w:sz="0" w:space="0" w:color="auto"/>
        <w:right w:val="none" w:sz="0" w:space="0" w:color="auto"/>
      </w:divBdr>
      <w:divsChild>
        <w:div w:id="834103436">
          <w:marLeft w:val="0"/>
          <w:marRight w:val="0"/>
          <w:marTop w:val="0"/>
          <w:marBottom w:val="0"/>
          <w:divBdr>
            <w:top w:val="single" w:sz="2" w:space="0" w:color="000000"/>
            <w:left w:val="single" w:sz="2" w:space="0" w:color="000000"/>
            <w:bottom w:val="single" w:sz="2" w:space="0" w:color="000000"/>
            <w:right w:val="single" w:sz="2" w:space="0" w:color="000000"/>
          </w:divBdr>
          <w:divsChild>
            <w:div w:id="1181701177">
              <w:marLeft w:val="0"/>
              <w:marRight w:val="0"/>
              <w:marTop w:val="180"/>
              <w:marBottom w:val="0"/>
              <w:divBdr>
                <w:top w:val="single" w:sz="2" w:space="0" w:color="000000"/>
                <w:left w:val="single" w:sz="2" w:space="0" w:color="000000"/>
                <w:bottom w:val="single" w:sz="2" w:space="0" w:color="000000"/>
                <w:right w:val="single" w:sz="2" w:space="0" w:color="000000"/>
              </w:divBdr>
              <w:divsChild>
                <w:div w:id="21466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66138276">
          <w:marLeft w:val="0"/>
          <w:marRight w:val="0"/>
          <w:marTop w:val="0"/>
          <w:marBottom w:val="0"/>
          <w:divBdr>
            <w:top w:val="single" w:sz="2" w:space="0" w:color="000000"/>
            <w:left w:val="single" w:sz="2" w:space="0" w:color="000000"/>
            <w:bottom w:val="single" w:sz="2" w:space="0" w:color="000000"/>
            <w:right w:val="single" w:sz="2" w:space="0" w:color="000000"/>
          </w:divBdr>
          <w:divsChild>
            <w:div w:id="1534344192">
              <w:marLeft w:val="0"/>
              <w:marRight w:val="0"/>
              <w:marTop w:val="180"/>
              <w:marBottom w:val="0"/>
              <w:divBdr>
                <w:top w:val="single" w:sz="2" w:space="0" w:color="000000"/>
                <w:left w:val="single" w:sz="2" w:space="0" w:color="000000"/>
                <w:bottom w:val="single" w:sz="2" w:space="0" w:color="000000"/>
                <w:right w:val="single" w:sz="2" w:space="0" w:color="000000"/>
              </w:divBdr>
              <w:divsChild>
                <w:div w:id="1634140206">
                  <w:marLeft w:val="0"/>
                  <w:marRight w:val="0"/>
                  <w:marTop w:val="0"/>
                  <w:marBottom w:val="0"/>
                  <w:divBdr>
                    <w:top w:val="single" w:sz="2" w:space="0" w:color="000000"/>
                    <w:left w:val="single" w:sz="2" w:space="0" w:color="000000"/>
                    <w:bottom w:val="single" w:sz="2" w:space="0" w:color="000000"/>
                    <w:right w:val="single" w:sz="2" w:space="0" w:color="000000"/>
                  </w:divBdr>
                  <w:divsChild>
                    <w:div w:id="649098724">
                      <w:marLeft w:val="0"/>
                      <w:marRight w:val="0"/>
                      <w:marTop w:val="0"/>
                      <w:marBottom w:val="0"/>
                      <w:divBdr>
                        <w:top w:val="single" w:sz="2" w:space="0" w:color="000000"/>
                        <w:left w:val="single" w:sz="2" w:space="0" w:color="000000"/>
                        <w:bottom w:val="single" w:sz="2" w:space="0" w:color="000000"/>
                        <w:right w:val="single" w:sz="2" w:space="0" w:color="000000"/>
                      </w:divBdr>
                      <w:divsChild>
                        <w:div w:id="690952922">
                          <w:marLeft w:val="0"/>
                          <w:marRight w:val="0"/>
                          <w:marTop w:val="0"/>
                          <w:marBottom w:val="0"/>
                          <w:divBdr>
                            <w:top w:val="single" w:sz="2" w:space="0" w:color="000000"/>
                            <w:left w:val="single" w:sz="2" w:space="0" w:color="000000"/>
                            <w:bottom w:val="single" w:sz="2" w:space="0" w:color="000000"/>
                            <w:right w:val="single" w:sz="2" w:space="0" w:color="000000"/>
                          </w:divBdr>
                          <w:divsChild>
                            <w:div w:id="892813177">
                              <w:marLeft w:val="0"/>
                              <w:marRight w:val="0"/>
                              <w:marTop w:val="0"/>
                              <w:marBottom w:val="0"/>
                              <w:divBdr>
                                <w:top w:val="single" w:sz="6" w:space="0" w:color="2F3336"/>
                                <w:left w:val="single" w:sz="6" w:space="0" w:color="2F3336"/>
                                <w:bottom w:val="single" w:sz="6" w:space="0" w:color="2F3336"/>
                                <w:right w:val="single" w:sz="6" w:space="0" w:color="2F3336"/>
                              </w:divBdr>
                              <w:divsChild>
                                <w:div w:id="1592856668">
                                  <w:marLeft w:val="0"/>
                                  <w:marRight w:val="0"/>
                                  <w:marTop w:val="0"/>
                                  <w:marBottom w:val="0"/>
                                  <w:divBdr>
                                    <w:top w:val="single" w:sz="2" w:space="0" w:color="000000"/>
                                    <w:left w:val="single" w:sz="2" w:space="0" w:color="000000"/>
                                    <w:bottom w:val="single" w:sz="2" w:space="0" w:color="000000"/>
                                    <w:right w:val="single" w:sz="2" w:space="0" w:color="000000"/>
                                  </w:divBdr>
                                  <w:divsChild>
                                    <w:div w:id="1213423044">
                                      <w:marLeft w:val="0"/>
                                      <w:marRight w:val="0"/>
                                      <w:marTop w:val="0"/>
                                      <w:marBottom w:val="0"/>
                                      <w:divBdr>
                                        <w:top w:val="single" w:sz="2" w:space="0" w:color="000000"/>
                                        <w:left w:val="single" w:sz="2" w:space="0" w:color="000000"/>
                                        <w:bottom w:val="single" w:sz="2" w:space="0" w:color="000000"/>
                                        <w:right w:val="single" w:sz="2" w:space="0" w:color="000000"/>
                                      </w:divBdr>
                                      <w:divsChild>
                                        <w:div w:id="1831870785">
                                          <w:marLeft w:val="0"/>
                                          <w:marRight w:val="0"/>
                                          <w:marTop w:val="0"/>
                                          <w:marBottom w:val="0"/>
                                          <w:divBdr>
                                            <w:top w:val="single" w:sz="2" w:space="0" w:color="000000"/>
                                            <w:left w:val="single" w:sz="2" w:space="0" w:color="000000"/>
                                            <w:bottom w:val="single" w:sz="2" w:space="0" w:color="000000"/>
                                            <w:right w:val="single" w:sz="2" w:space="0" w:color="000000"/>
                                          </w:divBdr>
                                          <w:divsChild>
                                            <w:div w:id="18875254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758551490">
      <w:bodyDiv w:val="1"/>
      <w:marLeft w:val="0"/>
      <w:marRight w:val="0"/>
      <w:marTop w:val="0"/>
      <w:marBottom w:val="0"/>
      <w:divBdr>
        <w:top w:val="none" w:sz="0" w:space="0" w:color="auto"/>
        <w:left w:val="none" w:sz="0" w:space="0" w:color="auto"/>
        <w:bottom w:val="none" w:sz="0" w:space="0" w:color="auto"/>
        <w:right w:val="none" w:sz="0" w:space="0" w:color="auto"/>
      </w:divBdr>
    </w:div>
    <w:div w:id="184917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jvtpr.com/index.php/IJVTPR/article/view/66" TargetMode="External"/><Relationship Id="rId18" Type="http://schemas.openxmlformats.org/officeDocument/2006/relationships/hyperlink" Target="https://colleenhuber.substack.com/p/2024-update-brain-impacts-from-the" TargetMode="External"/><Relationship Id="rId26" Type="http://schemas.openxmlformats.org/officeDocument/2006/relationships/hyperlink" Target="https://www.kktv.com/2023/04/18/doctors-concerned-about-meningitis-respiratory-illnesses-colorado/" TargetMode="External"/><Relationship Id="rId39" Type="http://schemas.openxmlformats.org/officeDocument/2006/relationships/hyperlink" Target="https://ijvtpr.com/index.php/IJVTPR/article/view/23/316" TargetMode="External"/><Relationship Id="rId21" Type="http://schemas.openxmlformats.org/officeDocument/2006/relationships/hyperlink" Target="https://lionessofjudah.substack.com/p/major-study-of-9-million-confirms" TargetMode="External"/><Relationship Id="rId34" Type="http://schemas.openxmlformats.org/officeDocument/2006/relationships/hyperlink" Target="https://doi.org/10.56098/ijvtpr.v2i1.23" TargetMode="External"/><Relationship Id="rId42" Type="http://schemas.openxmlformats.org/officeDocument/2006/relationships/hyperlink" Target="https://dailysceptic.org/2023/02/11/the-cdc-lied-the-mrna-was-never-intended-to-stay-in-the-ar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edcalc.org" TargetMode="External"/><Relationship Id="rId29" Type="http://schemas.openxmlformats.org/officeDocument/2006/relationships/hyperlink" Target="https://www.ncbi.nlm.nih.gov/books/NBK4418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ood_and_Drug_Administration" TargetMode="External"/><Relationship Id="rId24" Type="http://schemas.openxmlformats.org/officeDocument/2006/relationships/hyperlink" Target="https://x.com/nichulscher/status/1957165490196939141?s=46&amp;t=E3lBa0k6ScUvJ7YwdVqK9w" TargetMode="External"/><Relationship Id="rId32" Type="http://schemas.openxmlformats.org/officeDocument/2006/relationships/hyperlink" Target="https://my.clevelandclinic.org/health/diseases/prion-disease" TargetMode="External"/><Relationship Id="rId37" Type="http://schemas.openxmlformats.org/officeDocument/2006/relationships/hyperlink" Target="https://pmc.ncbi.nlm.nih.gov/articles/PMC8206235/" TargetMode="External"/><Relationship Id="rId40" Type="http://schemas.openxmlformats.org/officeDocument/2006/relationships/hyperlink" Target="https://ia902305.us.archive.org/28/items/pfizer-confidential-translated/pfizer-confidential-translated.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jpands.org/vol28no1/thorp.pdf/" TargetMode="External"/><Relationship Id="rId23" Type="http://schemas.openxmlformats.org/officeDocument/2006/relationships/hyperlink" Target="https://www.igor-chudov.com/p/pfizers-covid-vaccine-causes-vaids" TargetMode="External"/><Relationship Id="rId28" Type="http://schemas.openxmlformats.org/officeDocument/2006/relationships/hyperlink" Target="https://www.sciencedirect.com/science/article/pii/S1743919110004826?ref=pdf_download&amp;fr=RR-2&amp;rr=91a220b07d1c44d3" TargetMode="External"/><Relationship Id="rId36" Type="http://schemas.openxmlformats.org/officeDocument/2006/relationships/hyperlink" Target="https://doi.org/10.23958/ijirms/vol10-i06/2090" TargetMode="External"/><Relationship Id="rId10" Type="http://schemas.openxmlformats.org/officeDocument/2006/relationships/hyperlink" Target="https://en.wikipedia.org/wiki/Centers_for_Disease_Control_and_Prevention" TargetMode="External"/><Relationship Id="rId19" Type="http://schemas.openxmlformats.org/officeDocument/2006/relationships/hyperlink" Target="https://nmaus.org/nma-disease-prevention-information/statistics-and-disease-facts/" TargetMode="External"/><Relationship Id="rId31" Type="http://schemas.openxmlformats.org/officeDocument/2006/relationships/hyperlink" Target="https://www.cnn.com/2023/04/28/health/brain-abscess-cluster-nevada/index.html" TargetMode="External"/><Relationship Id="rId44" Type="http://schemas.openxmlformats.org/officeDocument/2006/relationships/hyperlink" Target="https://www.medrxiv.org/content/10.1101/2025.02.18.25322379v1" TargetMode="External"/><Relationship Id="rId4" Type="http://schemas.openxmlformats.org/officeDocument/2006/relationships/settings" Target="settings.xml"/><Relationship Id="rId9" Type="http://schemas.openxmlformats.org/officeDocument/2006/relationships/hyperlink" Target="mailto:jathorpmfm@proton.me" TargetMode="External"/><Relationship Id="rId14" Type="http://schemas.openxmlformats.org/officeDocument/2006/relationships/hyperlink" Target="https://medalerts.org/" TargetMode="External"/><Relationship Id="rId22" Type="http://schemas.openxmlformats.org/officeDocument/2006/relationships/hyperlink" Target="https://seemorerocks.substack.com/p/the-aids-like-epidemic-of-vaids-among" TargetMode="External"/><Relationship Id="rId27" Type="http://schemas.openxmlformats.org/officeDocument/2006/relationships/hyperlink" Target="https://jamanetwork.com/journals/jama/article-abstract/2818262" TargetMode="External"/><Relationship Id="rId30" Type="http://schemas.openxmlformats.org/officeDocument/2006/relationships/hyperlink" Target="https://www.cdc.gov/mmwr/volumes/71/wr/mm7131a4.htm" TargetMode="External"/><Relationship Id="rId35" Type="http://schemas.openxmlformats.org/officeDocument/2006/relationships/hyperlink" Target="https://www.doi.org/10.46766/thegms.neuro.22083101" TargetMode="External"/><Relationship Id="rId43" Type="http://schemas.openxmlformats.org/officeDocument/2006/relationships/hyperlink" Target="https://usafacts.org/visualizations/covid-vaccine-tracker-states/" TargetMode="External"/><Relationship Id="rId48" Type="http://schemas.openxmlformats.org/officeDocument/2006/relationships/theme" Target="theme/theme1.xml"/><Relationship Id="rId8" Type="http://schemas.openxmlformats.org/officeDocument/2006/relationships/hyperlink" Target="mailto:kirstincosgrove@outlook.com" TargetMode="External"/><Relationship Id="rId3" Type="http://schemas.openxmlformats.org/officeDocument/2006/relationships/styles" Target="styles.xml"/><Relationship Id="rId12" Type="http://schemas.openxmlformats.org/officeDocument/2006/relationships/hyperlink" Target="https://ncsddc.org/florida-meningococcal-disease-outbreak-raises-need-for-awareness/" TargetMode="External"/><Relationship Id="rId17" Type="http://schemas.openxmlformats.org/officeDocument/2006/relationships/hyperlink" Target="https://www.nature.com/articles/d41573-020-00073-5" TargetMode="External"/><Relationship Id="rId25" Type="http://schemas.openxmlformats.org/officeDocument/2006/relationships/hyperlink" Target="https://www.cdc.gov/mmwr/volumes/73/wr/mm7343a3.htm" TargetMode="External"/><Relationship Id="rId33" Type="http://schemas.openxmlformats.org/officeDocument/2006/relationships/hyperlink" Target="https://doi.org/10.3390/microorganisms10020280" TargetMode="External"/><Relationship Id="rId38" Type="http://schemas.openxmlformats.org/officeDocument/2006/relationships/hyperlink" Target="https://doi.org/10.1007/978-3-642-54596-2_1113" TargetMode="External"/><Relationship Id="rId46" Type="http://schemas.openxmlformats.org/officeDocument/2006/relationships/image" Target="media/image1.png"/><Relationship Id="rId20" Type="http://schemas.openxmlformats.org/officeDocument/2006/relationships/hyperlink" Target="https://www.hopkinsmedicine.org/health/conditions-and-diseases/encephalitis" TargetMode="External"/><Relationship Id="rId41" Type="http://schemas.openxmlformats.org/officeDocument/2006/relationships/hyperlink" Target="https://www.frontiersin.org/journals/immunology/articles/10.3389/fimmu.2024.1336906/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FAAF-059A-A04B-A4B3-2776B816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8156</Words>
  <Characters>46493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Rogers</dc:creator>
  <cp:keywords/>
  <dc:description/>
  <cp:lastModifiedBy>kirstin cosgrove</cp:lastModifiedBy>
  <cp:revision>3</cp:revision>
  <cp:lastPrinted>2025-08-12T00:52:00Z</cp:lastPrinted>
  <dcterms:created xsi:type="dcterms:W3CDTF">2025-09-15T21:57:00Z</dcterms:created>
  <dcterms:modified xsi:type="dcterms:W3CDTF">2025-09-16T18:47:00Z</dcterms:modified>
</cp:coreProperties>
</file>